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989C3" w14:textId="77777777" w:rsidR="00170CA5" w:rsidRPr="00170CA5" w:rsidRDefault="00170CA5" w:rsidP="00170CA5">
      <w:pPr>
        <w:jc w:val="center"/>
        <w:rPr>
          <w:rFonts w:ascii="Verdana" w:hAnsi="Verdana"/>
          <w:b/>
          <w:bCs/>
          <w:sz w:val="20"/>
          <w:szCs w:val="20"/>
        </w:rPr>
      </w:pPr>
      <w:r w:rsidRPr="00170CA5">
        <w:rPr>
          <w:rFonts w:ascii="Verdana" w:hAnsi="Verdana"/>
          <w:b/>
          <w:bCs/>
          <w:sz w:val="20"/>
          <w:szCs w:val="20"/>
        </w:rPr>
        <w:t>PARTE 1</w:t>
      </w:r>
    </w:p>
    <w:p w14:paraId="6746E623" w14:textId="77777777" w:rsidR="00170CA5" w:rsidRPr="00170CA5" w:rsidRDefault="00170CA5" w:rsidP="00170CA5">
      <w:pPr>
        <w:jc w:val="center"/>
        <w:rPr>
          <w:rFonts w:ascii="Verdana" w:hAnsi="Verdana"/>
          <w:b/>
          <w:bCs/>
          <w:sz w:val="20"/>
          <w:szCs w:val="20"/>
        </w:rPr>
      </w:pPr>
      <w:r w:rsidRPr="00170CA5">
        <w:rPr>
          <w:rFonts w:ascii="Verdana" w:hAnsi="Verdana"/>
          <w:b/>
          <w:bCs/>
          <w:sz w:val="20"/>
          <w:szCs w:val="20"/>
        </w:rPr>
        <w:t>ADMINISTRACIÓN DE RIESGOS</w:t>
      </w:r>
    </w:p>
    <w:p w14:paraId="25F7C6ED" w14:textId="77777777" w:rsidR="00170CA5" w:rsidRPr="00170CA5" w:rsidRDefault="00170CA5" w:rsidP="00170CA5">
      <w:pPr>
        <w:jc w:val="center"/>
        <w:rPr>
          <w:rFonts w:ascii="Verdana" w:hAnsi="Verdana"/>
          <w:b/>
          <w:bCs/>
          <w:sz w:val="20"/>
          <w:szCs w:val="20"/>
        </w:rPr>
      </w:pPr>
    </w:p>
    <w:p w14:paraId="2D972F64" w14:textId="77777777" w:rsidR="00170CA5" w:rsidRPr="00170CA5" w:rsidRDefault="00170CA5" w:rsidP="00170CA5">
      <w:pPr>
        <w:jc w:val="center"/>
        <w:rPr>
          <w:rFonts w:ascii="Verdana" w:hAnsi="Verdana"/>
          <w:b/>
          <w:bCs/>
          <w:sz w:val="20"/>
          <w:szCs w:val="20"/>
        </w:rPr>
      </w:pPr>
      <w:r w:rsidRPr="00170CA5">
        <w:rPr>
          <w:rFonts w:ascii="Verdana" w:hAnsi="Verdana"/>
          <w:b/>
          <w:bCs/>
          <w:sz w:val="20"/>
          <w:szCs w:val="20"/>
        </w:rPr>
        <w:t>CAPÍTULO 4</w:t>
      </w:r>
    </w:p>
    <w:p w14:paraId="1C01D923" w14:textId="77777777" w:rsidR="00170CA5" w:rsidRPr="00170CA5" w:rsidRDefault="00170CA5" w:rsidP="00170CA5">
      <w:pPr>
        <w:jc w:val="center"/>
        <w:rPr>
          <w:rFonts w:ascii="Verdana" w:hAnsi="Verdana"/>
          <w:b/>
          <w:bCs/>
          <w:sz w:val="20"/>
          <w:szCs w:val="20"/>
        </w:rPr>
      </w:pPr>
      <w:r w:rsidRPr="00170CA5">
        <w:rPr>
          <w:rFonts w:ascii="Verdana" w:hAnsi="Verdana"/>
          <w:b/>
          <w:bCs/>
          <w:sz w:val="20"/>
          <w:szCs w:val="20"/>
        </w:rPr>
        <w:t>GESTIÓN DE RIESGOS AMBIENTALES Y SOCIALES, INCLUIDOS LOS CLIMÁTICOS</w:t>
      </w:r>
    </w:p>
    <w:p w14:paraId="0DF3C3F9" w14:textId="77777777" w:rsidR="00170CA5" w:rsidRPr="00170CA5" w:rsidRDefault="00170CA5" w:rsidP="00170CA5">
      <w:pPr>
        <w:jc w:val="center"/>
        <w:rPr>
          <w:rFonts w:ascii="Verdana" w:hAnsi="Verdana"/>
          <w:b/>
          <w:bCs/>
          <w:sz w:val="20"/>
          <w:szCs w:val="20"/>
        </w:rPr>
      </w:pPr>
    </w:p>
    <w:p w14:paraId="3B4D36E4" w14:textId="77777777" w:rsidR="00170CA5" w:rsidRPr="00A91BD2" w:rsidRDefault="00170CA5" w:rsidP="00170CA5">
      <w:pPr>
        <w:rPr>
          <w:rFonts w:ascii="Verdana" w:hAnsi="Verdana"/>
          <w:b/>
          <w:bCs/>
          <w:sz w:val="20"/>
          <w:szCs w:val="20"/>
        </w:rPr>
      </w:pPr>
    </w:p>
    <w:p w14:paraId="1C3F9EEC" w14:textId="5AF54FF5" w:rsidR="00170CA5" w:rsidRPr="00A91BD2" w:rsidRDefault="00170CA5" w:rsidP="00170CA5">
      <w:pPr>
        <w:jc w:val="center"/>
        <w:rPr>
          <w:rFonts w:ascii="Verdana" w:hAnsi="Verdana"/>
          <w:b/>
          <w:bCs/>
          <w:sz w:val="20"/>
          <w:szCs w:val="20"/>
        </w:rPr>
      </w:pPr>
      <w:r w:rsidRPr="00A91BD2">
        <w:rPr>
          <w:rFonts w:ascii="Verdana" w:hAnsi="Verdana"/>
          <w:b/>
          <w:bCs/>
          <w:sz w:val="20"/>
          <w:szCs w:val="20"/>
        </w:rPr>
        <w:t>S</w:t>
      </w:r>
      <w:r w:rsidRPr="008011DC">
        <w:rPr>
          <w:rFonts w:ascii="Verdana" w:hAnsi="Verdana"/>
          <w:b/>
          <w:bCs/>
          <w:sz w:val="20"/>
          <w:szCs w:val="20"/>
        </w:rPr>
        <w:t xml:space="preserve">ECCIÓN </w:t>
      </w:r>
      <w:r>
        <w:rPr>
          <w:rFonts w:ascii="Verdana" w:hAnsi="Verdana"/>
          <w:b/>
          <w:bCs/>
          <w:sz w:val="20"/>
          <w:szCs w:val="20"/>
        </w:rPr>
        <w:t>1</w:t>
      </w:r>
      <w:r w:rsidRPr="00A91BD2">
        <w:rPr>
          <w:rFonts w:ascii="Verdana" w:hAnsi="Verdana"/>
          <w:b/>
          <w:bCs/>
          <w:sz w:val="20"/>
          <w:szCs w:val="20"/>
        </w:rPr>
        <w:t xml:space="preserve"> – GESTIÓN DE RIESGOS AMBIENTALES Y SOCIALES, INCLUIDOS LOS CLIMÁTICOS</w:t>
      </w:r>
    </w:p>
    <w:p w14:paraId="7B1FEED6" w14:textId="77777777" w:rsidR="00170CA5" w:rsidRPr="00170CA5" w:rsidRDefault="00170CA5" w:rsidP="00170CA5">
      <w:pPr>
        <w:jc w:val="center"/>
        <w:rPr>
          <w:rFonts w:ascii="Verdana" w:hAnsi="Verdana" w:cs="Arial"/>
          <w:b/>
          <w:sz w:val="20"/>
          <w:szCs w:val="20"/>
        </w:rPr>
      </w:pPr>
    </w:p>
    <w:p w14:paraId="131A77D7" w14:textId="77777777" w:rsidR="00170CA5" w:rsidRPr="00170CA5" w:rsidRDefault="00170CA5" w:rsidP="00170CA5">
      <w:pPr>
        <w:jc w:val="center"/>
        <w:rPr>
          <w:rFonts w:ascii="Verdana" w:hAnsi="Verdana" w:cs="Arial"/>
          <w:b/>
          <w:sz w:val="20"/>
          <w:szCs w:val="20"/>
        </w:rPr>
      </w:pPr>
      <w:r w:rsidRPr="00170CA5">
        <w:rPr>
          <w:rFonts w:ascii="Verdana" w:hAnsi="Verdana" w:cs="Arial"/>
          <w:b/>
          <w:sz w:val="20"/>
          <w:szCs w:val="20"/>
        </w:rPr>
        <w:t>ANEXO 1</w:t>
      </w:r>
    </w:p>
    <w:p w14:paraId="79741C63" w14:textId="77777777" w:rsidR="00170CA5" w:rsidRPr="00170CA5" w:rsidRDefault="00170CA5" w:rsidP="00170CA5">
      <w:pPr>
        <w:jc w:val="center"/>
        <w:rPr>
          <w:rFonts w:ascii="Verdana" w:hAnsi="Verdana" w:cs="Arial"/>
          <w:b/>
          <w:sz w:val="20"/>
          <w:szCs w:val="20"/>
        </w:rPr>
      </w:pPr>
      <w:r w:rsidRPr="00170CA5">
        <w:rPr>
          <w:rFonts w:ascii="Verdana" w:hAnsi="Verdana" w:cs="Arial"/>
          <w:b/>
          <w:sz w:val="20"/>
          <w:szCs w:val="20"/>
        </w:rPr>
        <w:t xml:space="preserve">INDICADORES DE REFERENCIA PARA LA MEDICIÓN DE LOS RIESGOS AMBIENTALES, SOCIALES, INCLUIDOS LOS CLIMÁTICOS </w:t>
      </w:r>
    </w:p>
    <w:p w14:paraId="505A403E" w14:textId="77777777" w:rsidR="00170CA5" w:rsidRPr="00170CA5" w:rsidRDefault="00170CA5" w:rsidP="00170CA5">
      <w:pPr>
        <w:tabs>
          <w:tab w:val="left" w:pos="284"/>
        </w:tabs>
        <w:jc w:val="both"/>
        <w:rPr>
          <w:rFonts w:ascii="Verdana" w:hAnsi="Verdana" w:cs="Arial"/>
          <w:bCs/>
          <w:sz w:val="20"/>
          <w:szCs w:val="20"/>
        </w:rPr>
      </w:pPr>
    </w:p>
    <w:p w14:paraId="315F73E0" w14:textId="77777777" w:rsidR="00170CA5" w:rsidRPr="00170CA5" w:rsidRDefault="00170CA5" w:rsidP="00170CA5">
      <w:pPr>
        <w:tabs>
          <w:tab w:val="left" w:pos="284"/>
        </w:tabs>
        <w:jc w:val="both"/>
        <w:rPr>
          <w:rFonts w:ascii="Verdana" w:hAnsi="Verdana" w:cs="Arial"/>
          <w:bCs/>
          <w:sz w:val="20"/>
          <w:szCs w:val="20"/>
        </w:rPr>
      </w:pPr>
    </w:p>
    <w:p w14:paraId="35ED1AB0" w14:textId="582D84B1" w:rsidR="00170CA5" w:rsidRP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 </w:t>
      </w:r>
      <w:r w:rsidRPr="00170CA5">
        <w:rPr>
          <w:rFonts w:ascii="Verdana" w:hAnsi="Verdana" w:cs="Arial"/>
          <w:bCs/>
          <w:sz w:val="20"/>
          <w:szCs w:val="20"/>
        </w:rPr>
        <w:t xml:space="preserve">El presente anexo establece los indicadores </w:t>
      </w:r>
      <w:r w:rsidRPr="00170CA5">
        <w:rPr>
          <w:rFonts w:ascii="Verdana" w:hAnsi="Verdana" w:cs="Arial"/>
          <w:bCs/>
          <w:sz w:val="20"/>
          <w:szCs w:val="20"/>
          <w:lang w:val="es-CO"/>
        </w:rPr>
        <w:t xml:space="preserve">de referencia que voluntariamente pueden utilizar las entidades vigiladas para la medición de los riesgos ambientales y sociales, en los términos </w:t>
      </w:r>
      <w:r>
        <w:rPr>
          <w:rFonts w:ascii="Verdana" w:hAnsi="Verdana" w:cs="Arial"/>
          <w:bCs/>
          <w:sz w:val="20"/>
          <w:szCs w:val="20"/>
          <w:lang w:val="es-CO"/>
        </w:rPr>
        <w:t xml:space="preserve">previstos en los párrafos </w:t>
      </w:r>
      <w:r w:rsidRPr="00170CA5">
        <w:rPr>
          <w:rFonts w:ascii="Verdana" w:hAnsi="Verdana" w:cs="Arial"/>
          <w:bCs/>
          <w:sz w:val="20"/>
          <w:szCs w:val="20"/>
          <w:lang w:val="es-CO"/>
        </w:rPr>
        <w:t>1.4.1.18.</w:t>
      </w:r>
      <w:r>
        <w:rPr>
          <w:rFonts w:ascii="Verdana" w:hAnsi="Verdana" w:cs="Arial"/>
          <w:bCs/>
          <w:sz w:val="20"/>
          <w:szCs w:val="20"/>
          <w:lang w:val="es-CO"/>
        </w:rPr>
        <w:t xml:space="preserve"> a 1.4.1.21. del presente Capítulo</w:t>
      </w:r>
      <w:r w:rsidRPr="00170CA5">
        <w:rPr>
          <w:rFonts w:ascii="Verdana" w:hAnsi="Verdana" w:cs="Arial"/>
          <w:bCs/>
          <w:sz w:val="20"/>
          <w:szCs w:val="20"/>
          <w:lang w:val="es-CO"/>
        </w:rPr>
        <w:t>.  </w:t>
      </w:r>
      <w:r w:rsidRPr="00170CA5">
        <w:rPr>
          <w:rFonts w:ascii="Verdana" w:hAnsi="Verdana" w:cs="Arial"/>
          <w:bCs/>
          <w:color w:val="000000" w:themeColor="text1"/>
          <w:sz w:val="20"/>
          <w:szCs w:val="20"/>
        </w:rPr>
        <w:t xml:space="preserve">Los indicadores propuestos tienen carácter voluntario y su aplicación debe estar alineada con las políticas internas y la estrategia de negocio de cada entidad. Por lo anterior, las entidades podrán contar con otras métricas de gestión de riesgos ambientales y sociales, incluidos los climáticos, con el fin de dar cumplimiento a lo </w:t>
      </w:r>
      <w:r>
        <w:rPr>
          <w:rFonts w:ascii="Verdana" w:hAnsi="Verdana" w:cs="Arial"/>
          <w:bCs/>
          <w:sz w:val="20"/>
          <w:szCs w:val="20"/>
          <w:lang w:val="es-CO"/>
        </w:rPr>
        <w:t xml:space="preserve">previsto en los párrafos </w:t>
      </w:r>
      <w:r w:rsidRPr="00170CA5">
        <w:rPr>
          <w:rFonts w:ascii="Verdana" w:hAnsi="Verdana" w:cs="Arial"/>
          <w:bCs/>
          <w:sz w:val="20"/>
          <w:szCs w:val="20"/>
          <w:lang w:val="es-CO"/>
        </w:rPr>
        <w:t>1.4.1.18.</w:t>
      </w:r>
      <w:r>
        <w:rPr>
          <w:rFonts w:ascii="Verdana" w:hAnsi="Verdana" w:cs="Arial"/>
          <w:bCs/>
          <w:sz w:val="20"/>
          <w:szCs w:val="20"/>
          <w:lang w:val="es-CO"/>
        </w:rPr>
        <w:t xml:space="preserve"> a 1.4.1.21. del presente Capítulo</w:t>
      </w:r>
      <w:r w:rsidRPr="00170CA5">
        <w:rPr>
          <w:rFonts w:ascii="Verdana" w:hAnsi="Verdana" w:cs="Arial"/>
          <w:bCs/>
          <w:color w:val="000000" w:themeColor="text1"/>
          <w:sz w:val="20"/>
          <w:szCs w:val="20"/>
        </w:rPr>
        <w:t>, así como con las fuentes de información que consideren pertinentes.</w:t>
      </w:r>
    </w:p>
    <w:p w14:paraId="6425A242" w14:textId="77777777" w:rsidR="00170CA5" w:rsidRPr="00170CA5" w:rsidRDefault="00170CA5" w:rsidP="00170CA5">
      <w:pPr>
        <w:tabs>
          <w:tab w:val="left" w:pos="567"/>
        </w:tabs>
        <w:contextualSpacing/>
        <w:jc w:val="both"/>
        <w:rPr>
          <w:rFonts w:ascii="Verdana" w:hAnsi="Verdana" w:cs="Arial"/>
          <w:b/>
          <w:sz w:val="20"/>
          <w:szCs w:val="20"/>
        </w:rPr>
      </w:pPr>
    </w:p>
    <w:p w14:paraId="12CEB364" w14:textId="34FAE3B1" w:rsidR="00170CA5" w:rsidRPr="00170CA5" w:rsidRDefault="00170CA5" w:rsidP="00170CA5">
      <w:pPr>
        <w:tabs>
          <w:tab w:val="left" w:pos="567"/>
        </w:tabs>
        <w:contextualSpacing/>
        <w:jc w:val="both"/>
        <w:rPr>
          <w:rFonts w:ascii="Verdana" w:hAnsi="Verdana" w:cs="Arial"/>
          <w:b/>
          <w:sz w:val="20"/>
          <w:szCs w:val="20"/>
        </w:rPr>
      </w:pPr>
      <w:r w:rsidRPr="00170CA5">
        <w:rPr>
          <w:rFonts w:ascii="Verdana" w:hAnsi="Verdana" w:cs="Arial"/>
          <w:b/>
          <w:sz w:val="20"/>
          <w:szCs w:val="20"/>
        </w:rPr>
        <w:t>INDICADORES DE REFERENCIA</w:t>
      </w:r>
    </w:p>
    <w:p w14:paraId="7F4644BB" w14:textId="77777777" w:rsidR="00170CA5" w:rsidRPr="00170CA5" w:rsidRDefault="00170CA5" w:rsidP="00170CA5">
      <w:pPr>
        <w:tabs>
          <w:tab w:val="left" w:pos="567"/>
        </w:tabs>
        <w:contextualSpacing/>
        <w:jc w:val="both"/>
        <w:rPr>
          <w:rFonts w:ascii="Verdana" w:hAnsi="Verdana" w:cs="Arial"/>
          <w:bCs/>
          <w:sz w:val="20"/>
          <w:szCs w:val="20"/>
        </w:rPr>
      </w:pPr>
    </w:p>
    <w:p w14:paraId="45C7C54D" w14:textId="21943CF1" w:rsidR="00170CA5" w:rsidRPr="00170CA5" w:rsidRDefault="00170CA5" w:rsidP="00170CA5">
      <w:pPr>
        <w:tabs>
          <w:tab w:val="left" w:pos="567"/>
        </w:tabs>
        <w:contextualSpacing/>
        <w:jc w:val="both"/>
        <w:rPr>
          <w:rFonts w:ascii="Verdana" w:hAnsi="Verdana" w:cs="Arial"/>
          <w:b/>
          <w:sz w:val="20"/>
          <w:szCs w:val="20"/>
        </w:rPr>
      </w:pPr>
      <w:r w:rsidRPr="00170CA5">
        <w:rPr>
          <w:rFonts w:ascii="Verdana" w:hAnsi="Verdana" w:cs="Arial"/>
          <w:b/>
          <w:sz w:val="20"/>
          <w:szCs w:val="20"/>
        </w:rPr>
        <w:t>Índice de exposición a riesgos físicos (por categoría) – (IERF)</w:t>
      </w:r>
    </w:p>
    <w:p w14:paraId="1BE8EF1F" w14:textId="77777777" w:rsidR="00170CA5" w:rsidRPr="00170CA5" w:rsidRDefault="00170CA5" w:rsidP="00170CA5">
      <w:pPr>
        <w:tabs>
          <w:tab w:val="left" w:pos="567"/>
        </w:tabs>
        <w:contextualSpacing/>
        <w:jc w:val="both"/>
        <w:rPr>
          <w:rFonts w:ascii="Verdana" w:hAnsi="Verdana" w:cs="Arial"/>
          <w:bCs/>
          <w:sz w:val="20"/>
          <w:szCs w:val="20"/>
        </w:rPr>
      </w:pPr>
    </w:p>
    <w:p w14:paraId="5991AC64" w14:textId="208A9DA8"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1.4.1.A1.2. </w:t>
      </w:r>
    </w:p>
    <w:p w14:paraId="522A2B10" w14:textId="17C772F4"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Tipo de indicador: ambiental.</w:t>
      </w:r>
    </w:p>
    <w:p w14:paraId="36C2E47F" w14:textId="77777777" w:rsidR="00170CA5" w:rsidRPr="00170CA5" w:rsidRDefault="00170CA5" w:rsidP="00170CA5">
      <w:pPr>
        <w:tabs>
          <w:tab w:val="left" w:pos="567"/>
        </w:tabs>
        <w:contextualSpacing/>
        <w:jc w:val="both"/>
        <w:rPr>
          <w:rFonts w:ascii="Verdana" w:hAnsi="Verdana" w:cs="Arial"/>
          <w:bCs/>
          <w:sz w:val="20"/>
          <w:szCs w:val="20"/>
        </w:rPr>
      </w:pPr>
    </w:p>
    <w:p w14:paraId="679E2DB3" w14:textId="2119C146"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 </w:t>
      </w:r>
    </w:p>
    <w:p w14:paraId="6DC4B440" w14:textId="04EBDD87"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Propósito: medir la exposición de un portafolio de activos de la entidad vigilada frente a amenazas climáticas de origen físico, tales como precipitaciones extremas, sequías, deslizamientos e incendios forestales, entre otros. </w:t>
      </w:r>
    </w:p>
    <w:p w14:paraId="2E43EC78" w14:textId="77777777" w:rsidR="00170CA5" w:rsidRPr="00170CA5" w:rsidRDefault="00170CA5" w:rsidP="00170CA5">
      <w:pPr>
        <w:tabs>
          <w:tab w:val="left" w:pos="567"/>
        </w:tabs>
        <w:contextualSpacing/>
        <w:jc w:val="both"/>
        <w:rPr>
          <w:rFonts w:ascii="Verdana" w:hAnsi="Verdana" w:cs="Arial"/>
          <w:bCs/>
          <w:sz w:val="20"/>
          <w:szCs w:val="20"/>
        </w:rPr>
      </w:pPr>
    </w:p>
    <w:p w14:paraId="46362EA3" w14:textId="66E132E1"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 </w:t>
      </w:r>
    </w:p>
    <w:p w14:paraId="7ED37CC0" w14:textId="173E25A0"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Este indicador puede ser utilizado por los establecimientos de crédito, las entidades aseguradoras y las entidades que administran recursos de terceros. </w:t>
      </w:r>
    </w:p>
    <w:p w14:paraId="1265C4B1" w14:textId="77777777" w:rsidR="00170CA5" w:rsidRPr="00170CA5" w:rsidRDefault="00170CA5" w:rsidP="00170CA5">
      <w:pPr>
        <w:tabs>
          <w:tab w:val="left" w:pos="567"/>
        </w:tabs>
        <w:contextualSpacing/>
        <w:jc w:val="both"/>
        <w:rPr>
          <w:rFonts w:ascii="Verdana" w:hAnsi="Verdana" w:cs="Arial"/>
          <w:bCs/>
          <w:sz w:val="20"/>
          <w:szCs w:val="20"/>
        </w:rPr>
      </w:pPr>
    </w:p>
    <w:p w14:paraId="5387498A" w14:textId="3E2DCD55"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1.4.1.A1.5. </w:t>
      </w:r>
    </w:p>
    <w:p w14:paraId="6537865A" w14:textId="2FDD3000"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Fórmula: </w:t>
      </w:r>
    </w:p>
    <w:p w14:paraId="1E2A128C" w14:textId="77777777" w:rsidR="00170CA5" w:rsidRPr="00170CA5" w:rsidRDefault="00170CA5" w:rsidP="00170CA5">
      <w:pPr>
        <w:tabs>
          <w:tab w:val="left" w:pos="567"/>
        </w:tabs>
        <w:contextualSpacing/>
        <w:jc w:val="both"/>
        <w:rPr>
          <w:rFonts w:ascii="Verdana" w:hAnsi="Verdana" w:cs="Arial"/>
          <w:bCs/>
          <w:sz w:val="20"/>
          <w:szCs w:val="20"/>
        </w:rPr>
      </w:pPr>
    </w:p>
    <w:p w14:paraId="4F165542" w14:textId="38BB11EF" w:rsidR="00170CA5" w:rsidRPr="00170CA5" w:rsidRDefault="00170CA5" w:rsidP="00170CA5">
      <w:pPr>
        <w:rPr>
          <w:rFonts w:ascii="Verdana" w:eastAsia="Verdana" w:hAnsi="Verdana"/>
          <w:bCs/>
          <w:sz w:val="20"/>
          <w:szCs w:val="20"/>
        </w:rPr>
      </w:pPr>
      <m:oMathPara>
        <m:oMath>
          <m:r>
            <w:rPr>
              <w:rFonts w:ascii="Cambria Math" w:eastAsia="Aptos" w:hAnsi="Cambria Math"/>
              <w:sz w:val="20"/>
              <w:szCs w:val="20"/>
            </w:rPr>
            <m:t>IERF=</m:t>
          </m:r>
          <m:f>
            <m:fPr>
              <m:ctrlPr>
                <w:rPr>
                  <w:rFonts w:ascii="Cambria Math" w:hAnsi="Cambria Math"/>
                  <w:bCs/>
                  <w:sz w:val="20"/>
                  <w:szCs w:val="20"/>
                </w:rPr>
              </m:ctrlPr>
            </m:fPr>
            <m:num>
              <m:r>
                <w:rPr>
                  <w:rFonts w:ascii="Cambria Math" w:hAnsi="Cambria Math"/>
                  <w:sz w:val="20"/>
                  <w:szCs w:val="20"/>
                </w:rPr>
                <m:t xml:space="preserve">FIA en zonas de alta vulnerabilidad climática por categoría </m:t>
              </m:r>
            </m:num>
            <m:den>
              <m:r>
                <w:rPr>
                  <w:rFonts w:ascii="Cambria Math" w:hAnsi="Cambria Math"/>
                  <w:sz w:val="20"/>
                  <w:szCs w:val="20"/>
                </w:rPr>
                <m:t>Valor total de referencia</m:t>
              </m:r>
            </m:den>
          </m:f>
          <m:r>
            <w:rPr>
              <w:rFonts w:ascii="Cambria Math" w:hAnsi="Cambria Math"/>
              <w:sz w:val="20"/>
              <w:szCs w:val="20"/>
            </w:rPr>
            <m:t>*100</m:t>
          </m:r>
        </m:oMath>
      </m:oMathPara>
    </w:p>
    <w:p w14:paraId="26D19AFF" w14:textId="77777777" w:rsidR="00170CA5" w:rsidRPr="00170CA5" w:rsidRDefault="00170CA5" w:rsidP="00170CA5">
      <w:pPr>
        <w:tabs>
          <w:tab w:val="left" w:pos="567"/>
        </w:tabs>
        <w:contextualSpacing/>
        <w:jc w:val="both"/>
        <w:rPr>
          <w:rFonts w:ascii="Verdana" w:hAnsi="Verdana" w:cs="Arial"/>
          <w:bCs/>
          <w:sz w:val="20"/>
          <w:szCs w:val="20"/>
        </w:rPr>
      </w:pPr>
    </w:p>
    <w:p w14:paraId="0C8563FE" w14:textId="5215B966"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1.4.1.A1.6. </w:t>
      </w:r>
    </w:p>
    <w:p w14:paraId="5233F031" w14:textId="5DE09A1E"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El índice se presenta como porcentaje y su medición puede ser actualizada acorde con disponibilidad mensual de la fuente. </w:t>
      </w:r>
    </w:p>
    <w:p w14:paraId="2D92738D" w14:textId="77777777" w:rsidR="00170CA5" w:rsidRPr="00170CA5" w:rsidRDefault="00170CA5" w:rsidP="00170CA5">
      <w:pPr>
        <w:tabs>
          <w:tab w:val="left" w:pos="567"/>
        </w:tabs>
        <w:contextualSpacing/>
        <w:jc w:val="both"/>
        <w:rPr>
          <w:rFonts w:ascii="Verdana" w:hAnsi="Verdana" w:cs="Arial"/>
          <w:bCs/>
          <w:sz w:val="20"/>
          <w:szCs w:val="20"/>
        </w:rPr>
      </w:pPr>
    </w:p>
    <w:p w14:paraId="2219A118" w14:textId="25DA3512"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1.4.1.A1.7. </w:t>
      </w:r>
    </w:p>
    <w:p w14:paraId="6667A357" w14:textId="0467EDC7"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Variables: </w:t>
      </w:r>
    </w:p>
    <w:p w14:paraId="30F22682" w14:textId="77777777" w:rsidR="00170CA5" w:rsidRPr="00170CA5" w:rsidRDefault="00170CA5" w:rsidP="00170CA5">
      <w:pPr>
        <w:tabs>
          <w:tab w:val="left" w:pos="567"/>
        </w:tabs>
        <w:contextualSpacing/>
        <w:jc w:val="both"/>
        <w:rPr>
          <w:rFonts w:ascii="Verdana" w:hAnsi="Verdana" w:cs="Arial"/>
          <w:bCs/>
          <w:sz w:val="20"/>
          <w:szCs w:val="20"/>
        </w:rPr>
      </w:pPr>
    </w:p>
    <w:p w14:paraId="54BC2443" w14:textId="485803E4"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w:lastRenderedPageBreak/>
          <m:t>FIA en zonas de alta vulnerabilidad climática por categoría</m:t>
        </m:r>
      </m:oMath>
      <w:r w:rsidRPr="00170CA5">
        <w:rPr>
          <w:rFonts w:ascii="Verdana" w:hAnsi="Verdana" w:cs="Arial"/>
          <w:bCs/>
          <w:sz w:val="20"/>
          <w:szCs w:val="20"/>
        </w:rPr>
        <w:t>: es el monto en COP de las operaciones de crédito, inversión o aseguramiento realizado por parte de las entidades vigiladas en zonas de alto riesgo físico, considerando los principios de relevancia y materialidad.</w:t>
      </w:r>
    </w:p>
    <w:p w14:paraId="50C812C7" w14:textId="77777777" w:rsidR="00170CA5" w:rsidRPr="00170CA5" w:rsidRDefault="00170CA5" w:rsidP="00170CA5">
      <w:pPr>
        <w:tabs>
          <w:tab w:val="left" w:pos="567"/>
        </w:tabs>
        <w:contextualSpacing/>
        <w:jc w:val="both"/>
        <w:rPr>
          <w:rFonts w:ascii="Verdana" w:hAnsi="Verdana" w:cs="Arial"/>
          <w:bCs/>
          <w:sz w:val="20"/>
          <w:szCs w:val="20"/>
        </w:rPr>
      </w:pPr>
    </w:p>
    <w:p w14:paraId="0353F3BD" w14:textId="192C28DD"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1.4.1.A1.8. </w:t>
      </w:r>
    </w:p>
    <w:p w14:paraId="26854079" w14:textId="2EAB7929"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El cálculo se realiza de manera independiente de acuerdo con las siguientes categorías, de forma que cada una corresponde a un indicador individual, cuya fórmula y fuente principal de cálculo es la misma:</w:t>
      </w:r>
    </w:p>
    <w:p w14:paraId="6107362D" w14:textId="77777777" w:rsidR="00170CA5" w:rsidRPr="00170CA5" w:rsidRDefault="00170CA5" w:rsidP="00170CA5">
      <w:pPr>
        <w:tabs>
          <w:tab w:val="left" w:pos="567"/>
        </w:tabs>
        <w:contextualSpacing/>
        <w:jc w:val="both"/>
        <w:rPr>
          <w:rFonts w:ascii="Verdana" w:hAnsi="Verdana" w:cs="Arial"/>
          <w:bCs/>
          <w:sz w:val="20"/>
          <w:szCs w:val="20"/>
        </w:rPr>
      </w:pPr>
    </w:p>
    <w:p w14:paraId="6CB63C7A" w14:textId="77777777" w:rsidR="00170CA5" w:rsidRDefault="00170CA5" w:rsidP="0096789C">
      <w:pPr>
        <w:pStyle w:val="Prrafodelista"/>
        <w:numPr>
          <w:ilvl w:val="0"/>
          <w:numId w:val="1"/>
        </w:numPr>
        <w:tabs>
          <w:tab w:val="left" w:pos="567"/>
        </w:tabs>
        <w:ind w:left="567" w:hanging="567"/>
        <w:jc w:val="both"/>
        <w:rPr>
          <w:rFonts w:ascii="Verdana" w:hAnsi="Verdana" w:cs="Arial"/>
          <w:bCs/>
          <w:sz w:val="20"/>
          <w:szCs w:val="20"/>
        </w:rPr>
      </w:pPr>
      <w:r w:rsidRPr="00170CA5">
        <w:rPr>
          <w:rFonts w:ascii="Verdana" w:hAnsi="Verdana" w:cs="Arial"/>
          <w:bCs/>
          <w:sz w:val="20"/>
          <w:szCs w:val="20"/>
        </w:rPr>
        <w:t>Precipitaciones: por encima o por debajo de lo normal.</w:t>
      </w:r>
    </w:p>
    <w:p w14:paraId="46D20479" w14:textId="77777777" w:rsidR="0096789C" w:rsidRPr="00170CA5" w:rsidRDefault="0096789C" w:rsidP="0096789C">
      <w:pPr>
        <w:pStyle w:val="Prrafodelista"/>
        <w:tabs>
          <w:tab w:val="left" w:pos="567"/>
        </w:tabs>
        <w:ind w:left="567"/>
        <w:jc w:val="both"/>
        <w:rPr>
          <w:rFonts w:ascii="Verdana" w:hAnsi="Verdana" w:cs="Arial"/>
          <w:bCs/>
          <w:sz w:val="20"/>
          <w:szCs w:val="20"/>
        </w:rPr>
      </w:pPr>
    </w:p>
    <w:p w14:paraId="263B163F" w14:textId="77777777" w:rsidR="00170CA5" w:rsidRPr="00170CA5" w:rsidRDefault="00170CA5" w:rsidP="0096789C">
      <w:pPr>
        <w:pStyle w:val="Prrafodelista"/>
        <w:numPr>
          <w:ilvl w:val="0"/>
          <w:numId w:val="1"/>
        </w:numPr>
        <w:tabs>
          <w:tab w:val="left" w:pos="567"/>
        </w:tabs>
        <w:ind w:left="567" w:hanging="567"/>
        <w:jc w:val="both"/>
        <w:rPr>
          <w:rFonts w:ascii="Verdana" w:hAnsi="Verdana" w:cs="Arial"/>
          <w:bCs/>
          <w:sz w:val="20"/>
          <w:szCs w:val="20"/>
        </w:rPr>
      </w:pPr>
      <w:r w:rsidRPr="00170CA5">
        <w:rPr>
          <w:rFonts w:ascii="Verdana" w:hAnsi="Verdana" w:cs="Arial"/>
          <w:bCs/>
          <w:sz w:val="20"/>
          <w:szCs w:val="20"/>
        </w:rPr>
        <w:t>Suelos: muy secos (rojo) o muy húmedos (azul).</w:t>
      </w:r>
    </w:p>
    <w:p w14:paraId="31B5E039" w14:textId="77777777" w:rsidR="0096789C" w:rsidRDefault="0096789C" w:rsidP="0096789C">
      <w:pPr>
        <w:pStyle w:val="Prrafodelista"/>
        <w:tabs>
          <w:tab w:val="left" w:pos="567"/>
        </w:tabs>
        <w:ind w:left="567"/>
        <w:jc w:val="both"/>
        <w:rPr>
          <w:rFonts w:ascii="Verdana" w:hAnsi="Verdana" w:cs="Arial"/>
          <w:bCs/>
          <w:sz w:val="20"/>
          <w:szCs w:val="20"/>
        </w:rPr>
      </w:pPr>
    </w:p>
    <w:p w14:paraId="43D14787" w14:textId="02026A55" w:rsidR="00170CA5" w:rsidRPr="00170CA5" w:rsidRDefault="00170CA5" w:rsidP="0096789C">
      <w:pPr>
        <w:pStyle w:val="Prrafodelista"/>
        <w:numPr>
          <w:ilvl w:val="0"/>
          <w:numId w:val="1"/>
        </w:numPr>
        <w:tabs>
          <w:tab w:val="left" w:pos="567"/>
        </w:tabs>
        <w:ind w:left="567" w:hanging="567"/>
        <w:jc w:val="both"/>
        <w:rPr>
          <w:rFonts w:ascii="Verdana" w:hAnsi="Verdana" w:cs="Arial"/>
          <w:bCs/>
          <w:sz w:val="20"/>
          <w:szCs w:val="20"/>
        </w:rPr>
      </w:pPr>
      <w:r w:rsidRPr="00170CA5">
        <w:rPr>
          <w:rFonts w:ascii="Verdana" w:hAnsi="Verdana" w:cs="Arial"/>
          <w:bCs/>
          <w:sz w:val="20"/>
          <w:szCs w:val="20"/>
        </w:rPr>
        <w:t>Deslizamientos: amenaza muy alta (rojo).</w:t>
      </w:r>
    </w:p>
    <w:p w14:paraId="0BF202CA" w14:textId="77777777" w:rsidR="0096789C" w:rsidRDefault="0096789C" w:rsidP="0096789C">
      <w:pPr>
        <w:pStyle w:val="Prrafodelista"/>
        <w:tabs>
          <w:tab w:val="left" w:pos="567"/>
        </w:tabs>
        <w:ind w:left="567"/>
        <w:jc w:val="both"/>
        <w:rPr>
          <w:rFonts w:ascii="Verdana" w:hAnsi="Verdana" w:cs="Arial"/>
          <w:bCs/>
          <w:sz w:val="20"/>
          <w:szCs w:val="20"/>
        </w:rPr>
      </w:pPr>
    </w:p>
    <w:p w14:paraId="4EB1DB50" w14:textId="2967BE08" w:rsidR="00170CA5" w:rsidRPr="00170CA5" w:rsidRDefault="00170CA5" w:rsidP="0096789C">
      <w:pPr>
        <w:pStyle w:val="Prrafodelista"/>
        <w:numPr>
          <w:ilvl w:val="0"/>
          <w:numId w:val="1"/>
        </w:numPr>
        <w:tabs>
          <w:tab w:val="left" w:pos="567"/>
        </w:tabs>
        <w:ind w:left="567" w:hanging="567"/>
        <w:jc w:val="both"/>
        <w:rPr>
          <w:rFonts w:ascii="Verdana" w:hAnsi="Verdana" w:cs="Arial"/>
          <w:bCs/>
          <w:sz w:val="20"/>
          <w:szCs w:val="20"/>
        </w:rPr>
      </w:pPr>
      <w:r w:rsidRPr="00170CA5">
        <w:rPr>
          <w:rFonts w:ascii="Verdana" w:hAnsi="Verdana" w:cs="Arial"/>
          <w:bCs/>
          <w:sz w:val="20"/>
          <w:szCs w:val="20"/>
        </w:rPr>
        <w:t>Incendios: probabilidad muy alta (rojo).</w:t>
      </w:r>
    </w:p>
    <w:p w14:paraId="18375AAA" w14:textId="77777777" w:rsidR="00170CA5" w:rsidRPr="00170CA5" w:rsidRDefault="00170CA5" w:rsidP="00170CA5">
      <w:pPr>
        <w:tabs>
          <w:tab w:val="left" w:pos="567"/>
        </w:tabs>
        <w:contextualSpacing/>
        <w:jc w:val="both"/>
        <w:rPr>
          <w:rFonts w:ascii="Verdana" w:hAnsi="Verdana" w:cs="Arial"/>
          <w:bCs/>
          <w:sz w:val="20"/>
          <w:szCs w:val="20"/>
        </w:rPr>
      </w:pPr>
    </w:p>
    <w:p w14:paraId="312FF547" w14:textId="7F4745A5"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1.4.1.A1.9. </w:t>
      </w:r>
    </w:p>
    <w:p w14:paraId="1E9DF3FE" w14:textId="72F4B77C"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Para estos efectos, las características “por encima” o “por debajo”, y los colores “rojo” y “azul” se deben entender de acuerdo con el boletín del IDEAM referido en la sección “fuente” de este indicador. </w:t>
      </w:r>
    </w:p>
    <w:p w14:paraId="2CA60EA6" w14:textId="77777777" w:rsidR="00170CA5" w:rsidRPr="00170CA5" w:rsidRDefault="00170CA5" w:rsidP="00170CA5">
      <w:pPr>
        <w:tabs>
          <w:tab w:val="left" w:pos="567"/>
        </w:tabs>
        <w:contextualSpacing/>
        <w:jc w:val="both"/>
        <w:rPr>
          <w:rFonts w:ascii="Verdana" w:hAnsi="Verdana" w:cs="Arial"/>
          <w:bCs/>
          <w:sz w:val="20"/>
          <w:szCs w:val="20"/>
        </w:rPr>
      </w:pPr>
    </w:p>
    <w:p w14:paraId="798CB2B2" w14:textId="4A02EEE0"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Valor total de referencia</m:t>
        </m:r>
      </m:oMath>
      <w:r w:rsidRPr="00170CA5">
        <w:rPr>
          <w:rFonts w:ascii="Verdana" w:hAnsi="Verdana" w:cs="Arial"/>
          <w:bCs/>
          <w:sz w:val="20"/>
          <w:szCs w:val="20"/>
        </w:rPr>
        <w:t>: es el monto en COP correspondiente al valor agregado del portafolio de activos, considerando los principios de relevancia y materialidad.</w:t>
      </w:r>
    </w:p>
    <w:p w14:paraId="25B03FF1" w14:textId="77777777" w:rsidR="00170CA5" w:rsidRPr="00170CA5" w:rsidRDefault="00170CA5" w:rsidP="00170CA5">
      <w:pPr>
        <w:tabs>
          <w:tab w:val="left" w:pos="567"/>
        </w:tabs>
        <w:contextualSpacing/>
        <w:jc w:val="both"/>
        <w:rPr>
          <w:rFonts w:ascii="Verdana" w:hAnsi="Verdana" w:cs="Arial"/>
          <w:bCs/>
          <w:sz w:val="20"/>
          <w:szCs w:val="20"/>
        </w:rPr>
      </w:pPr>
    </w:p>
    <w:p w14:paraId="0D8DEEC8" w14:textId="6C47B81C"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1.4.1.A1.10. </w:t>
      </w:r>
    </w:p>
    <w:p w14:paraId="72E4F481" w14:textId="47EDEC45" w:rsid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Interpretación del indicador: </w:t>
      </w:r>
    </w:p>
    <w:p w14:paraId="7838C64F" w14:textId="77777777" w:rsidR="00170CA5" w:rsidRPr="00170CA5" w:rsidRDefault="00170CA5" w:rsidP="00170CA5">
      <w:pPr>
        <w:tabs>
          <w:tab w:val="left" w:pos="567"/>
        </w:tabs>
        <w:contextualSpacing/>
        <w:jc w:val="both"/>
        <w:rPr>
          <w:rFonts w:ascii="Verdana" w:hAnsi="Verdana" w:cs="Arial"/>
          <w:bCs/>
          <w:sz w:val="20"/>
          <w:szCs w:val="20"/>
        </w:rPr>
      </w:pPr>
    </w:p>
    <w:p w14:paraId="5484E9C7" w14:textId="77777777" w:rsidR="00170CA5" w:rsidRPr="00170CA5" w:rsidRDefault="00170CA5" w:rsidP="0096789C">
      <w:pPr>
        <w:pStyle w:val="Prrafodelista"/>
        <w:numPr>
          <w:ilvl w:val="0"/>
          <w:numId w:val="6"/>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0% – 20% (Bajo): una pequeña parte del portafolio o cartera está expuesta a amenazas climáticas severas. </w:t>
      </w:r>
    </w:p>
    <w:p w14:paraId="0A096D4F" w14:textId="77777777" w:rsidR="00170CA5" w:rsidRPr="00170CA5" w:rsidRDefault="00170CA5" w:rsidP="0096789C">
      <w:pPr>
        <w:tabs>
          <w:tab w:val="left" w:pos="567"/>
        </w:tabs>
        <w:ind w:left="567" w:hanging="567"/>
        <w:contextualSpacing/>
        <w:jc w:val="both"/>
        <w:rPr>
          <w:rFonts w:ascii="Verdana" w:hAnsi="Verdana" w:cs="Arial"/>
          <w:bCs/>
          <w:sz w:val="20"/>
          <w:szCs w:val="20"/>
        </w:rPr>
      </w:pPr>
    </w:p>
    <w:p w14:paraId="26B32666" w14:textId="77777777" w:rsidR="00170CA5" w:rsidRPr="00170CA5" w:rsidRDefault="00170CA5" w:rsidP="0096789C">
      <w:pPr>
        <w:pStyle w:val="Prrafodelista"/>
        <w:numPr>
          <w:ilvl w:val="0"/>
          <w:numId w:val="6"/>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21% – 50% (Moderado): una proporción parcial del portafolio o cartera está en zonas vulnerables. </w:t>
      </w:r>
    </w:p>
    <w:p w14:paraId="41D4E175" w14:textId="77777777" w:rsidR="00170CA5" w:rsidRPr="00170CA5" w:rsidRDefault="00170CA5" w:rsidP="0096789C">
      <w:pPr>
        <w:tabs>
          <w:tab w:val="left" w:pos="567"/>
        </w:tabs>
        <w:ind w:left="567" w:hanging="567"/>
        <w:contextualSpacing/>
        <w:jc w:val="both"/>
        <w:rPr>
          <w:rFonts w:ascii="Verdana" w:hAnsi="Verdana" w:cs="Arial"/>
          <w:bCs/>
          <w:sz w:val="20"/>
          <w:szCs w:val="20"/>
        </w:rPr>
      </w:pPr>
    </w:p>
    <w:p w14:paraId="1EDA2D82" w14:textId="77777777" w:rsidR="00170CA5" w:rsidRPr="00170CA5" w:rsidRDefault="00170CA5" w:rsidP="0096789C">
      <w:pPr>
        <w:pStyle w:val="Prrafodelista"/>
        <w:numPr>
          <w:ilvl w:val="0"/>
          <w:numId w:val="6"/>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51% – 80% (Alto): más de la mitad del portafolio o cartera está en riesgo. </w:t>
      </w:r>
    </w:p>
    <w:p w14:paraId="33108C33" w14:textId="77777777" w:rsidR="00170CA5" w:rsidRPr="00170CA5" w:rsidRDefault="00170CA5" w:rsidP="0096789C">
      <w:pPr>
        <w:tabs>
          <w:tab w:val="left" w:pos="567"/>
        </w:tabs>
        <w:ind w:left="567" w:hanging="567"/>
        <w:contextualSpacing/>
        <w:jc w:val="both"/>
        <w:rPr>
          <w:rFonts w:ascii="Verdana" w:hAnsi="Verdana" w:cs="Arial"/>
          <w:bCs/>
          <w:sz w:val="20"/>
          <w:szCs w:val="20"/>
        </w:rPr>
      </w:pPr>
    </w:p>
    <w:p w14:paraId="1CDF4E4E" w14:textId="77777777" w:rsidR="00170CA5" w:rsidRPr="00170CA5" w:rsidRDefault="00170CA5" w:rsidP="0096789C">
      <w:pPr>
        <w:pStyle w:val="Prrafodelista"/>
        <w:numPr>
          <w:ilvl w:val="0"/>
          <w:numId w:val="6"/>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81% – 100% (Muy alto): casi todo o todo el portafolio o cartera está expuesto. </w:t>
      </w:r>
    </w:p>
    <w:p w14:paraId="3DCBCEA4" w14:textId="77777777" w:rsidR="00170CA5" w:rsidRPr="00170CA5" w:rsidRDefault="00170CA5" w:rsidP="00170CA5">
      <w:pPr>
        <w:tabs>
          <w:tab w:val="left" w:pos="567"/>
        </w:tabs>
        <w:contextualSpacing/>
        <w:jc w:val="both"/>
        <w:rPr>
          <w:rFonts w:ascii="Verdana" w:hAnsi="Verdana" w:cs="Arial"/>
          <w:bCs/>
          <w:sz w:val="20"/>
          <w:szCs w:val="20"/>
        </w:rPr>
      </w:pPr>
    </w:p>
    <w:p w14:paraId="364F2608" w14:textId="166EFD0A"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1.4.1.A1.11. </w:t>
      </w:r>
    </w:p>
    <w:p w14:paraId="4EC34E48" w14:textId="2287297B"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Fuente: IDEAM Boletín - Informe de predicción climática.</w:t>
      </w:r>
    </w:p>
    <w:p w14:paraId="359EFECB" w14:textId="77777777" w:rsidR="00170CA5" w:rsidRPr="00170CA5" w:rsidRDefault="00170CA5" w:rsidP="00170CA5">
      <w:pPr>
        <w:tabs>
          <w:tab w:val="left" w:pos="567"/>
        </w:tabs>
        <w:contextualSpacing/>
        <w:jc w:val="both"/>
        <w:rPr>
          <w:rFonts w:ascii="Verdana" w:hAnsi="Verdana" w:cs="Arial"/>
          <w:bCs/>
          <w:sz w:val="20"/>
          <w:szCs w:val="20"/>
        </w:rPr>
      </w:pPr>
    </w:p>
    <w:p w14:paraId="41FC79A5" w14:textId="3AEE2DA4"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1.4.1.A1.12. </w:t>
      </w:r>
    </w:p>
    <w:p w14:paraId="2FA17508" w14:textId="20824E24"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Cobertura: Departamental.</w:t>
      </w:r>
    </w:p>
    <w:p w14:paraId="7DA19E98" w14:textId="7837517D" w:rsidR="00170CA5" w:rsidRDefault="00170CA5" w:rsidP="00170CA5">
      <w:pPr>
        <w:tabs>
          <w:tab w:val="left" w:pos="567"/>
        </w:tabs>
        <w:contextualSpacing/>
        <w:jc w:val="both"/>
        <w:rPr>
          <w:rFonts w:ascii="Verdana" w:hAnsi="Verdana" w:cs="Arial"/>
          <w:bCs/>
          <w:sz w:val="20"/>
          <w:szCs w:val="20"/>
        </w:rPr>
      </w:pPr>
    </w:p>
    <w:p w14:paraId="69D8628E" w14:textId="1D5C6BD5" w:rsidR="00170CA5" w:rsidRPr="00170CA5" w:rsidRDefault="00170CA5" w:rsidP="00170CA5">
      <w:pPr>
        <w:tabs>
          <w:tab w:val="left" w:pos="567"/>
        </w:tabs>
        <w:contextualSpacing/>
        <w:jc w:val="both"/>
        <w:rPr>
          <w:rFonts w:ascii="Verdana" w:hAnsi="Verdana" w:cs="Arial"/>
          <w:b/>
          <w:sz w:val="20"/>
          <w:szCs w:val="20"/>
        </w:rPr>
      </w:pPr>
      <w:r w:rsidRPr="00170CA5">
        <w:rPr>
          <w:rFonts w:ascii="Verdana" w:hAnsi="Verdana" w:cs="Arial"/>
          <w:b/>
          <w:sz w:val="20"/>
          <w:szCs w:val="20"/>
        </w:rPr>
        <w:t>Índice de exposición agregada a riesgos físicos – (∑IERF)</w:t>
      </w:r>
    </w:p>
    <w:p w14:paraId="2D49D880" w14:textId="77777777" w:rsidR="00170CA5" w:rsidRPr="00170CA5" w:rsidRDefault="00170CA5" w:rsidP="00170CA5">
      <w:pPr>
        <w:tabs>
          <w:tab w:val="left" w:pos="567"/>
        </w:tabs>
        <w:contextualSpacing/>
        <w:jc w:val="both"/>
        <w:rPr>
          <w:rFonts w:ascii="Verdana" w:hAnsi="Verdana" w:cs="Arial"/>
          <w:bCs/>
          <w:sz w:val="20"/>
          <w:szCs w:val="20"/>
        </w:rPr>
      </w:pPr>
    </w:p>
    <w:p w14:paraId="34108126" w14:textId="5E59D194"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1.4.1.A1.13. </w:t>
      </w:r>
    </w:p>
    <w:p w14:paraId="05036418" w14:textId="489916E7"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Tipo de indicador: ambiental.</w:t>
      </w:r>
    </w:p>
    <w:p w14:paraId="4A8D61E7" w14:textId="77777777" w:rsidR="00170CA5" w:rsidRDefault="00170CA5" w:rsidP="00170CA5">
      <w:pPr>
        <w:tabs>
          <w:tab w:val="left" w:pos="567"/>
        </w:tabs>
        <w:contextualSpacing/>
        <w:jc w:val="both"/>
        <w:rPr>
          <w:rFonts w:ascii="Verdana" w:hAnsi="Verdana" w:cs="Arial"/>
          <w:bCs/>
          <w:sz w:val="20"/>
          <w:szCs w:val="20"/>
        </w:rPr>
      </w:pPr>
    </w:p>
    <w:p w14:paraId="66FF3519" w14:textId="67A4F3EB"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1.4.1.A1.14. </w:t>
      </w:r>
    </w:p>
    <w:p w14:paraId="698B9B66" w14:textId="257079D9" w:rsid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Propósito: medir la exposición total de un portafolio de activos frente a múltiples amenazas climáticas de origen físico, integrando distintas categorías de riesgo mediante ponderadores. Permite una evaluación más completa y ajustada del nivel de exposición climática. </w:t>
      </w:r>
    </w:p>
    <w:p w14:paraId="65A72D20" w14:textId="77777777" w:rsidR="0096789C" w:rsidRPr="00170CA5" w:rsidRDefault="0096789C" w:rsidP="00170CA5">
      <w:pPr>
        <w:tabs>
          <w:tab w:val="left" w:pos="567"/>
        </w:tabs>
        <w:contextualSpacing/>
        <w:jc w:val="both"/>
        <w:rPr>
          <w:rFonts w:ascii="Verdana" w:hAnsi="Verdana" w:cs="Arial"/>
          <w:bCs/>
          <w:sz w:val="20"/>
          <w:szCs w:val="20"/>
        </w:rPr>
      </w:pPr>
    </w:p>
    <w:p w14:paraId="2BD598DC" w14:textId="77777777" w:rsidR="00170CA5" w:rsidRPr="00170CA5" w:rsidRDefault="00170CA5" w:rsidP="00170CA5">
      <w:pPr>
        <w:tabs>
          <w:tab w:val="left" w:pos="567"/>
        </w:tabs>
        <w:contextualSpacing/>
        <w:jc w:val="both"/>
        <w:rPr>
          <w:rFonts w:ascii="Verdana" w:hAnsi="Verdana" w:cs="Arial"/>
          <w:bCs/>
          <w:sz w:val="20"/>
          <w:szCs w:val="20"/>
        </w:rPr>
      </w:pPr>
    </w:p>
    <w:p w14:paraId="119EB245" w14:textId="3E2E7788"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lastRenderedPageBreak/>
        <w:t xml:space="preserve">1.4.1.A1.15. </w:t>
      </w:r>
    </w:p>
    <w:p w14:paraId="3C55EC9D" w14:textId="2715FD2F"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El índice de exposición agregada combina las distintas amenazas (precipitaciones extremas, sequías, deslizamientos e incendios forestales) obtenidos a partir de las categorías de los literales (a), (b), (c) y (d) del indicador anterior, que analizan la exposición por categoría individual. En este caso, se definen ponderadores para capturar la complejidad y simultaneidad de los riesgos climáticos.</w:t>
      </w:r>
    </w:p>
    <w:p w14:paraId="476321D2" w14:textId="77777777" w:rsidR="00170CA5" w:rsidRPr="00170CA5" w:rsidRDefault="00170CA5" w:rsidP="00170CA5">
      <w:pPr>
        <w:tabs>
          <w:tab w:val="left" w:pos="567"/>
        </w:tabs>
        <w:contextualSpacing/>
        <w:jc w:val="both"/>
        <w:rPr>
          <w:rFonts w:ascii="Verdana" w:hAnsi="Verdana" w:cs="Arial"/>
          <w:bCs/>
          <w:sz w:val="20"/>
          <w:szCs w:val="20"/>
        </w:rPr>
      </w:pPr>
    </w:p>
    <w:p w14:paraId="14A04731" w14:textId="17AC6B3C"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1.4.1.A1.16. </w:t>
      </w:r>
    </w:p>
    <w:p w14:paraId="41154683" w14:textId="2A803C91"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Este indicador puede ser utilizado por los establecimientos de crédito, las entidades aseguradoras y las entidades que administran recursos de terceros. </w:t>
      </w:r>
    </w:p>
    <w:p w14:paraId="683EE588" w14:textId="77777777" w:rsidR="00170CA5" w:rsidRPr="00170CA5" w:rsidRDefault="00170CA5" w:rsidP="00170CA5">
      <w:pPr>
        <w:tabs>
          <w:tab w:val="left" w:pos="567"/>
        </w:tabs>
        <w:contextualSpacing/>
        <w:jc w:val="both"/>
        <w:rPr>
          <w:rFonts w:ascii="Verdana" w:hAnsi="Verdana" w:cs="Arial"/>
          <w:bCs/>
          <w:sz w:val="20"/>
          <w:szCs w:val="20"/>
        </w:rPr>
      </w:pPr>
    </w:p>
    <w:p w14:paraId="3FA7EAF3" w14:textId="4C9A9392"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1.4.1.A1.17. </w:t>
      </w:r>
    </w:p>
    <w:p w14:paraId="4FF8795B" w14:textId="446A5E13"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Fórmula: </w:t>
      </w:r>
    </w:p>
    <w:p w14:paraId="0A5487EE" w14:textId="77777777" w:rsidR="00170CA5" w:rsidRPr="00170CA5" w:rsidRDefault="00170CA5" w:rsidP="00170CA5">
      <w:pPr>
        <w:tabs>
          <w:tab w:val="left" w:pos="567"/>
        </w:tabs>
        <w:contextualSpacing/>
        <w:jc w:val="both"/>
        <w:rPr>
          <w:rFonts w:ascii="Verdana" w:hAnsi="Verdana" w:cs="Arial"/>
          <w:bCs/>
          <w:sz w:val="20"/>
          <w:szCs w:val="20"/>
        </w:rPr>
      </w:pPr>
    </w:p>
    <w:p w14:paraId="67EF7034" w14:textId="460B6961" w:rsidR="00170CA5" w:rsidRPr="00170CA5" w:rsidRDefault="00D35992" w:rsidP="00170CA5">
      <w:pPr>
        <w:jc w:val="both"/>
        <w:rPr>
          <w:rFonts w:ascii="Verdana" w:hAnsi="Verdana"/>
          <w:bCs/>
          <w:i/>
          <w:sz w:val="20"/>
          <w:szCs w:val="20"/>
        </w:rPr>
      </w:pPr>
      <m:oMathPara>
        <m:oMath>
          <m:nary>
            <m:naryPr>
              <m:chr m:val="∑"/>
              <m:limLoc m:val="subSup"/>
              <m:supHide m:val="1"/>
              <m:ctrlPr>
                <w:rPr>
                  <w:rFonts w:ascii="Cambria Math" w:hAnsi="Cambria Math"/>
                  <w:bCs/>
                  <w:i/>
                  <w:sz w:val="20"/>
                  <w:szCs w:val="20"/>
                </w:rPr>
              </m:ctrlPr>
            </m:naryPr>
            <m:sub>
              <m:r>
                <w:rPr>
                  <w:rFonts w:ascii="Cambria Math" w:hAnsi="Cambria Math"/>
                  <w:sz w:val="20"/>
                  <w:szCs w:val="20"/>
                </w:rPr>
                <m:t>K</m:t>
              </m:r>
            </m:sub>
            <m:sup/>
            <m:e>
              <m:r>
                <w:rPr>
                  <w:rFonts w:ascii="Cambria Math" w:hAnsi="Cambria Math"/>
                  <w:sz w:val="20"/>
                  <w:szCs w:val="20"/>
                </w:rPr>
                <m:t>IERF</m:t>
              </m:r>
            </m:e>
          </m:nary>
          <m:r>
            <w:rPr>
              <w:rFonts w:ascii="Cambria Math" w:hAnsi="Cambria Math" w:cs="Cambria Math"/>
              <w:sz w:val="20"/>
              <w:szCs w:val="20"/>
            </w:rPr>
            <m:t>=</m:t>
          </m:r>
          <m:f>
            <m:fPr>
              <m:ctrlPr>
                <w:rPr>
                  <w:rFonts w:ascii="Cambria Math" w:hAnsi="Cambria Math"/>
                  <w:bCs/>
                  <w:i/>
                  <w:sz w:val="20"/>
                  <w:szCs w:val="20"/>
                </w:rPr>
              </m:ctrlPr>
            </m:fPr>
            <m:num>
              <m:r>
                <w:rPr>
                  <w:rFonts w:ascii="Cambria Math" w:hAnsi="Cambria Math"/>
                  <w:sz w:val="20"/>
                  <w:szCs w:val="20"/>
                </w:rPr>
                <m:t xml:space="preserve">∑(FIA en zonas de alta vulnerabilidad climática * Ponderador de categoría) </m:t>
              </m:r>
            </m:num>
            <m:den>
              <m:r>
                <w:rPr>
                  <w:rFonts w:ascii="Cambria Math" w:hAnsi="Cambria Math"/>
                  <w:sz w:val="20"/>
                  <w:szCs w:val="20"/>
                </w:rPr>
                <m:t xml:space="preserve">Valor total de referencia </m:t>
              </m:r>
            </m:den>
          </m:f>
          <m:r>
            <w:rPr>
              <w:rFonts w:ascii="Cambria Math" w:hAnsi="Cambria Math"/>
              <w:sz w:val="20"/>
              <w:szCs w:val="20"/>
            </w:rPr>
            <m:t>*100</m:t>
          </m:r>
        </m:oMath>
      </m:oMathPara>
    </w:p>
    <w:p w14:paraId="67B06450" w14:textId="77777777" w:rsidR="00170CA5" w:rsidRPr="00170CA5" w:rsidRDefault="00170CA5" w:rsidP="00170CA5">
      <w:pPr>
        <w:tabs>
          <w:tab w:val="left" w:pos="567"/>
        </w:tabs>
        <w:contextualSpacing/>
        <w:jc w:val="both"/>
        <w:rPr>
          <w:rFonts w:ascii="Verdana" w:hAnsi="Verdana" w:cs="Arial"/>
          <w:bCs/>
          <w:sz w:val="20"/>
          <w:szCs w:val="20"/>
        </w:rPr>
      </w:pPr>
    </w:p>
    <w:p w14:paraId="750540B4" w14:textId="77777777" w:rsidR="00170CA5" w:rsidRPr="00170CA5" w:rsidRDefault="00170CA5" w:rsidP="00170CA5">
      <w:pPr>
        <w:tabs>
          <w:tab w:val="left" w:pos="567"/>
        </w:tabs>
        <w:contextualSpacing/>
        <w:jc w:val="both"/>
        <w:rPr>
          <w:rFonts w:ascii="Verdana" w:hAnsi="Verdana" w:cs="Arial"/>
          <w:bCs/>
          <w:sz w:val="20"/>
          <w:szCs w:val="20"/>
        </w:rPr>
      </w:pPr>
    </w:p>
    <w:p w14:paraId="04CC97A5" w14:textId="611C1969"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1.4.1.A1.18. </w:t>
      </w:r>
    </w:p>
    <w:p w14:paraId="65902BF4" w14:textId="4B367FAB"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El índice se presenta como porcentaje y su medición puede ser actualizada acorde con disponibilidad de la fuente. </w:t>
      </w:r>
    </w:p>
    <w:p w14:paraId="66F32580" w14:textId="77777777" w:rsidR="00170CA5" w:rsidRPr="00170CA5" w:rsidRDefault="00170CA5" w:rsidP="00170CA5">
      <w:pPr>
        <w:tabs>
          <w:tab w:val="left" w:pos="567"/>
        </w:tabs>
        <w:contextualSpacing/>
        <w:jc w:val="both"/>
        <w:rPr>
          <w:rFonts w:ascii="Verdana" w:hAnsi="Verdana" w:cs="Arial"/>
          <w:bCs/>
          <w:sz w:val="20"/>
          <w:szCs w:val="20"/>
        </w:rPr>
      </w:pPr>
    </w:p>
    <w:p w14:paraId="0610FCD3" w14:textId="0E07B507"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1.4.1.A1.19. </w:t>
      </w:r>
    </w:p>
    <w:p w14:paraId="18F294FE" w14:textId="5A519013"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Variables: </w:t>
      </w:r>
    </w:p>
    <w:p w14:paraId="2D4A808F" w14:textId="77777777" w:rsidR="00170CA5" w:rsidRPr="00170CA5" w:rsidRDefault="00170CA5" w:rsidP="00170CA5">
      <w:pPr>
        <w:tabs>
          <w:tab w:val="left" w:pos="567"/>
        </w:tabs>
        <w:contextualSpacing/>
        <w:jc w:val="both"/>
        <w:rPr>
          <w:rFonts w:ascii="Verdana" w:hAnsi="Verdana" w:cs="Arial"/>
          <w:bCs/>
          <w:sz w:val="20"/>
          <w:szCs w:val="20"/>
        </w:rPr>
      </w:pPr>
    </w:p>
    <w:p w14:paraId="1E32AED7" w14:textId="7FF0CBDC"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FIA en zonas de alta vulnerabilidad climática</m:t>
        </m:r>
      </m:oMath>
      <w:r w:rsidRPr="00170CA5">
        <w:rPr>
          <w:rFonts w:ascii="Verdana" w:hAnsi="Verdana" w:cs="Arial"/>
          <w:bCs/>
          <w:sz w:val="20"/>
          <w:szCs w:val="20"/>
        </w:rPr>
        <w:t xml:space="preserve">: es el monto en COP de las operaciones de crédito, inversión o aseguramiento realizado por parte de las entidades vigiladas por la SFC en zonas de alto riesgo físico, considerando los principios de relevancia y materialidad. Cada categoría se debe multiplicar por un ponderador y el resultado se expresa como el valor agregado correspondiente a las categorías consideradas en el indicador </w:t>
      </w:r>
      <w:r>
        <w:rPr>
          <w:rFonts w:ascii="Verdana" w:hAnsi="Verdana" w:cs="Arial"/>
          <w:bCs/>
          <w:sz w:val="20"/>
          <w:szCs w:val="20"/>
        </w:rPr>
        <w:t>contenido en los párrafos 1.4.1.A1.2. a 1.4.1.A1.12. del presente Anexo</w:t>
      </w:r>
      <w:r w:rsidRPr="00170CA5">
        <w:rPr>
          <w:rFonts w:ascii="Verdana" w:hAnsi="Verdana" w:cs="Arial"/>
          <w:bCs/>
          <w:sz w:val="20"/>
          <w:szCs w:val="20"/>
        </w:rPr>
        <w:t xml:space="preserve">, según su aplicabilidad. </w:t>
      </w:r>
    </w:p>
    <w:p w14:paraId="196A2D1F" w14:textId="77777777" w:rsidR="00170CA5" w:rsidRPr="00170CA5" w:rsidRDefault="00170CA5" w:rsidP="00170CA5">
      <w:pPr>
        <w:tabs>
          <w:tab w:val="left" w:pos="567"/>
        </w:tabs>
        <w:contextualSpacing/>
        <w:jc w:val="both"/>
        <w:rPr>
          <w:rFonts w:ascii="Verdana" w:hAnsi="Verdana" w:cs="Arial"/>
          <w:bCs/>
          <w:sz w:val="20"/>
          <w:szCs w:val="20"/>
        </w:rPr>
      </w:pPr>
    </w:p>
    <w:p w14:paraId="1951CEE3" w14:textId="4118870A"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Ponderador de categoría</m:t>
        </m:r>
      </m:oMath>
      <w:r w:rsidRPr="00170CA5">
        <w:rPr>
          <w:rFonts w:ascii="Verdana" w:hAnsi="Verdana" w:cs="Arial"/>
          <w:bCs/>
          <w:sz w:val="20"/>
          <w:szCs w:val="20"/>
        </w:rPr>
        <w:t xml:space="preserve">: se sugiere usar un ponderador del 25 % por categoría y ajustar el ponderador según la pertinencia para cada entidad vigilada, de acuerdo con las características de su portafolio y las categorías referidas </w:t>
      </w:r>
      <w:r>
        <w:rPr>
          <w:rFonts w:ascii="Verdana" w:hAnsi="Verdana" w:cs="Arial"/>
          <w:bCs/>
          <w:sz w:val="20"/>
          <w:szCs w:val="20"/>
        </w:rPr>
        <w:t>en los párrafos 1.4.1.A1.7., 1.4.1.A1.8. Y 1.4.1.A1.9. del presente Anexo,</w:t>
      </w:r>
      <w:r w:rsidRPr="00170CA5">
        <w:rPr>
          <w:rFonts w:ascii="Verdana" w:hAnsi="Verdana" w:cs="Arial"/>
          <w:bCs/>
          <w:sz w:val="20"/>
          <w:szCs w:val="20"/>
        </w:rPr>
        <w:t xml:space="preserve"> que les resulten aplicables.</w:t>
      </w:r>
    </w:p>
    <w:p w14:paraId="727A9F05" w14:textId="77777777" w:rsidR="00170CA5" w:rsidRPr="00170CA5" w:rsidRDefault="00170CA5" w:rsidP="00170CA5">
      <w:pPr>
        <w:tabs>
          <w:tab w:val="left" w:pos="567"/>
        </w:tabs>
        <w:contextualSpacing/>
        <w:jc w:val="both"/>
        <w:rPr>
          <w:rFonts w:ascii="Verdana" w:hAnsi="Verdana" w:cs="Arial"/>
          <w:bCs/>
          <w:sz w:val="20"/>
          <w:szCs w:val="20"/>
        </w:rPr>
      </w:pPr>
    </w:p>
    <w:p w14:paraId="65338ABC" w14:textId="7DF21BC2"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Valor total de referencia</m:t>
        </m:r>
      </m:oMath>
      <w:r w:rsidRPr="00170CA5">
        <w:rPr>
          <w:rFonts w:ascii="Verdana" w:hAnsi="Verdana" w:cs="Arial"/>
          <w:bCs/>
          <w:sz w:val="20"/>
          <w:szCs w:val="20"/>
        </w:rPr>
        <w:t>: es el monto en COP correspondiente al valor agregado del portafolio de activos considerando los principios de relevancia y materialidad.</w:t>
      </w:r>
    </w:p>
    <w:p w14:paraId="055E3B52" w14:textId="77777777" w:rsidR="00170CA5" w:rsidRPr="00170CA5" w:rsidRDefault="00170CA5" w:rsidP="00170CA5">
      <w:pPr>
        <w:tabs>
          <w:tab w:val="left" w:pos="567"/>
        </w:tabs>
        <w:contextualSpacing/>
        <w:jc w:val="both"/>
        <w:rPr>
          <w:rFonts w:ascii="Verdana" w:hAnsi="Verdana" w:cs="Arial"/>
          <w:bCs/>
          <w:sz w:val="20"/>
          <w:szCs w:val="20"/>
        </w:rPr>
      </w:pPr>
    </w:p>
    <w:p w14:paraId="77EACB5C" w14:textId="15674CA4" w:rsidR="00170CA5" w:rsidRDefault="00170CA5" w:rsidP="00170CA5">
      <w:pPr>
        <w:tabs>
          <w:tab w:val="left" w:pos="567"/>
        </w:tabs>
        <w:contextualSpacing/>
        <w:jc w:val="both"/>
        <w:rPr>
          <w:rFonts w:ascii="Verdana" w:hAnsi="Verdana" w:cs="Arial"/>
          <w:bCs/>
          <w:sz w:val="20"/>
          <w:szCs w:val="20"/>
        </w:rPr>
      </w:pPr>
      <m:oMath>
        <m:r>
          <w:rPr>
            <w:rFonts w:ascii="Cambria Math" w:hAnsi="Cambria Math" w:cs="Arial"/>
            <w:sz w:val="20"/>
            <w:szCs w:val="20"/>
          </w:rPr>
          <m:t>k</m:t>
        </m:r>
      </m:oMath>
      <w:r w:rsidRPr="00170CA5">
        <w:rPr>
          <w:rFonts w:ascii="Verdana" w:hAnsi="Verdana" w:cs="Arial"/>
          <w:bCs/>
          <w:sz w:val="20"/>
          <w:szCs w:val="20"/>
        </w:rPr>
        <w:t xml:space="preserve">: corresponde a los factores de riesgo físico señalados </w:t>
      </w:r>
      <w:r>
        <w:rPr>
          <w:rFonts w:ascii="Verdana" w:hAnsi="Verdana" w:cs="Arial"/>
          <w:bCs/>
          <w:sz w:val="20"/>
          <w:szCs w:val="20"/>
        </w:rPr>
        <w:t>en los párrafos 1.4.1.A1.7., 1.4.1.A1.8. Y 1.4.1.A1.9. del presente Anexo.</w:t>
      </w:r>
    </w:p>
    <w:p w14:paraId="44FB8607" w14:textId="77777777" w:rsidR="00170CA5" w:rsidRPr="00170CA5" w:rsidRDefault="00170CA5" w:rsidP="00170CA5">
      <w:pPr>
        <w:tabs>
          <w:tab w:val="left" w:pos="567"/>
        </w:tabs>
        <w:contextualSpacing/>
        <w:jc w:val="both"/>
        <w:rPr>
          <w:rFonts w:ascii="Verdana" w:hAnsi="Verdana" w:cs="Arial"/>
          <w:bCs/>
          <w:sz w:val="20"/>
          <w:szCs w:val="20"/>
        </w:rPr>
      </w:pPr>
    </w:p>
    <w:p w14:paraId="0F20DB11" w14:textId="118E6DB2"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1.4.1.A1.20. </w:t>
      </w:r>
    </w:p>
    <w:p w14:paraId="05889032" w14:textId="2EE7D69C"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Interpretación del indicador agregado: </w:t>
      </w:r>
    </w:p>
    <w:p w14:paraId="631086BC" w14:textId="77777777" w:rsidR="00170CA5" w:rsidRPr="00170CA5" w:rsidRDefault="00170CA5" w:rsidP="00170CA5">
      <w:pPr>
        <w:tabs>
          <w:tab w:val="left" w:pos="567"/>
        </w:tabs>
        <w:contextualSpacing/>
        <w:jc w:val="both"/>
        <w:rPr>
          <w:rFonts w:ascii="Verdana" w:hAnsi="Verdana" w:cs="Arial"/>
          <w:bCs/>
          <w:sz w:val="20"/>
          <w:szCs w:val="20"/>
        </w:rPr>
      </w:pPr>
    </w:p>
    <w:p w14:paraId="0C0DB976" w14:textId="77777777" w:rsidR="00170CA5" w:rsidRPr="00170CA5" w:rsidRDefault="00170CA5" w:rsidP="0096789C">
      <w:pPr>
        <w:pStyle w:val="Prrafodelista"/>
        <w:numPr>
          <w:ilvl w:val="0"/>
          <w:numId w:val="7"/>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0% – 20% (Bajo): Baja exposición agregada. </w:t>
      </w:r>
    </w:p>
    <w:p w14:paraId="05908B35" w14:textId="77777777" w:rsidR="00170CA5" w:rsidRPr="00170CA5" w:rsidRDefault="00170CA5" w:rsidP="0096789C">
      <w:pPr>
        <w:tabs>
          <w:tab w:val="left" w:pos="567"/>
        </w:tabs>
        <w:ind w:left="567" w:hanging="567"/>
        <w:contextualSpacing/>
        <w:jc w:val="both"/>
        <w:rPr>
          <w:rFonts w:ascii="Verdana" w:hAnsi="Verdana" w:cs="Arial"/>
          <w:bCs/>
          <w:sz w:val="20"/>
          <w:szCs w:val="20"/>
        </w:rPr>
      </w:pPr>
    </w:p>
    <w:p w14:paraId="15393198" w14:textId="77777777" w:rsidR="00170CA5" w:rsidRPr="00170CA5" w:rsidRDefault="00170CA5" w:rsidP="0096789C">
      <w:pPr>
        <w:pStyle w:val="Prrafodelista"/>
        <w:numPr>
          <w:ilvl w:val="0"/>
          <w:numId w:val="7"/>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21% – 50% (Moderado): Exposición combinada significativa. </w:t>
      </w:r>
    </w:p>
    <w:p w14:paraId="4E3056AE" w14:textId="77777777" w:rsidR="00170CA5" w:rsidRPr="00170CA5" w:rsidRDefault="00170CA5" w:rsidP="0096789C">
      <w:pPr>
        <w:tabs>
          <w:tab w:val="left" w:pos="567"/>
        </w:tabs>
        <w:ind w:left="567" w:hanging="567"/>
        <w:contextualSpacing/>
        <w:jc w:val="both"/>
        <w:rPr>
          <w:rFonts w:ascii="Verdana" w:hAnsi="Verdana" w:cs="Arial"/>
          <w:bCs/>
          <w:sz w:val="20"/>
          <w:szCs w:val="20"/>
        </w:rPr>
      </w:pPr>
    </w:p>
    <w:p w14:paraId="2F7A2F79" w14:textId="77777777" w:rsidR="00170CA5" w:rsidRPr="00170CA5" w:rsidRDefault="00170CA5" w:rsidP="0096789C">
      <w:pPr>
        <w:pStyle w:val="Prrafodelista"/>
        <w:numPr>
          <w:ilvl w:val="0"/>
          <w:numId w:val="7"/>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51% – 80% (Alto): Exposición total elevada. </w:t>
      </w:r>
    </w:p>
    <w:p w14:paraId="7D7BFBC3" w14:textId="77777777" w:rsidR="00170CA5" w:rsidRPr="00170CA5" w:rsidRDefault="00170CA5" w:rsidP="0096789C">
      <w:pPr>
        <w:tabs>
          <w:tab w:val="left" w:pos="567"/>
        </w:tabs>
        <w:ind w:left="567" w:hanging="567"/>
        <w:contextualSpacing/>
        <w:jc w:val="both"/>
        <w:rPr>
          <w:rFonts w:ascii="Verdana" w:hAnsi="Verdana" w:cs="Arial"/>
          <w:bCs/>
          <w:sz w:val="20"/>
          <w:szCs w:val="20"/>
        </w:rPr>
      </w:pPr>
    </w:p>
    <w:p w14:paraId="18765AA2" w14:textId="77777777" w:rsidR="00170CA5" w:rsidRPr="00170CA5" w:rsidRDefault="00170CA5" w:rsidP="0096789C">
      <w:pPr>
        <w:pStyle w:val="Prrafodelista"/>
        <w:numPr>
          <w:ilvl w:val="0"/>
          <w:numId w:val="7"/>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81% – 100% (Muy alto): Riesgo sistémico crítico. </w:t>
      </w:r>
    </w:p>
    <w:p w14:paraId="0F7FB6D2" w14:textId="77777777" w:rsidR="00170CA5" w:rsidRPr="00170CA5" w:rsidRDefault="00170CA5" w:rsidP="00170CA5">
      <w:pPr>
        <w:tabs>
          <w:tab w:val="left" w:pos="567"/>
        </w:tabs>
        <w:contextualSpacing/>
        <w:jc w:val="both"/>
        <w:rPr>
          <w:rFonts w:ascii="Verdana" w:hAnsi="Verdana" w:cs="Arial"/>
          <w:bCs/>
          <w:sz w:val="20"/>
          <w:szCs w:val="20"/>
        </w:rPr>
      </w:pPr>
    </w:p>
    <w:p w14:paraId="07C26A27" w14:textId="201305E1"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lastRenderedPageBreak/>
        <w:t xml:space="preserve">1.4.1.A1.21. </w:t>
      </w:r>
    </w:p>
    <w:p w14:paraId="31955215" w14:textId="02D02FB2"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Fuente: IDEAM Boletín - Informe de predicción climática. </w:t>
      </w:r>
    </w:p>
    <w:p w14:paraId="487AC785" w14:textId="77777777" w:rsidR="00170CA5" w:rsidRPr="00170CA5" w:rsidRDefault="00170CA5" w:rsidP="00170CA5">
      <w:pPr>
        <w:tabs>
          <w:tab w:val="left" w:pos="567"/>
        </w:tabs>
        <w:contextualSpacing/>
        <w:jc w:val="both"/>
        <w:rPr>
          <w:rFonts w:ascii="Verdana" w:hAnsi="Verdana" w:cs="Arial"/>
          <w:bCs/>
          <w:sz w:val="20"/>
          <w:szCs w:val="20"/>
        </w:rPr>
      </w:pPr>
    </w:p>
    <w:p w14:paraId="48EDD0B8" w14:textId="02897BC7"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1.4.1.A1.22. </w:t>
      </w:r>
    </w:p>
    <w:p w14:paraId="294515A1" w14:textId="6FCA8F71"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Cobertura: Departamental.</w:t>
      </w:r>
    </w:p>
    <w:p w14:paraId="5A5B92EF" w14:textId="77777777" w:rsidR="00170CA5" w:rsidRPr="00170CA5" w:rsidRDefault="00170CA5" w:rsidP="00170CA5">
      <w:pPr>
        <w:tabs>
          <w:tab w:val="left" w:pos="567"/>
        </w:tabs>
        <w:contextualSpacing/>
        <w:jc w:val="both"/>
        <w:rPr>
          <w:rFonts w:ascii="Verdana" w:hAnsi="Verdana" w:cs="Arial"/>
          <w:bCs/>
          <w:sz w:val="20"/>
          <w:szCs w:val="20"/>
        </w:rPr>
      </w:pPr>
    </w:p>
    <w:p w14:paraId="0620C5AD" w14:textId="666D079F" w:rsidR="00170CA5" w:rsidRPr="00170CA5" w:rsidRDefault="00170CA5" w:rsidP="00170CA5">
      <w:pPr>
        <w:tabs>
          <w:tab w:val="left" w:pos="567"/>
        </w:tabs>
        <w:contextualSpacing/>
        <w:jc w:val="both"/>
        <w:rPr>
          <w:rFonts w:ascii="Verdana" w:hAnsi="Verdana" w:cs="Arial"/>
          <w:b/>
          <w:sz w:val="20"/>
          <w:szCs w:val="20"/>
        </w:rPr>
      </w:pPr>
      <w:r w:rsidRPr="00170CA5">
        <w:rPr>
          <w:rFonts w:ascii="Verdana" w:hAnsi="Verdana" w:cs="Arial"/>
          <w:b/>
          <w:sz w:val="20"/>
          <w:szCs w:val="20"/>
        </w:rPr>
        <w:t>Índice de Riesgo de Transición Energética – (IRTE)</w:t>
      </w:r>
    </w:p>
    <w:p w14:paraId="324C3213" w14:textId="77777777" w:rsidR="00170CA5" w:rsidRPr="00170CA5" w:rsidRDefault="00170CA5" w:rsidP="00170CA5">
      <w:pPr>
        <w:tabs>
          <w:tab w:val="left" w:pos="567"/>
        </w:tabs>
        <w:contextualSpacing/>
        <w:jc w:val="both"/>
        <w:rPr>
          <w:rFonts w:ascii="Verdana" w:hAnsi="Verdana" w:cs="Arial"/>
          <w:bCs/>
          <w:sz w:val="20"/>
          <w:szCs w:val="20"/>
        </w:rPr>
      </w:pPr>
    </w:p>
    <w:p w14:paraId="4F0F5F31" w14:textId="13964E1A"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1.4.1.A1.23. </w:t>
      </w:r>
    </w:p>
    <w:p w14:paraId="3029CD88" w14:textId="0D960375"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Tipo de indicador: ambiental.</w:t>
      </w:r>
    </w:p>
    <w:p w14:paraId="4EBEB0F3" w14:textId="77777777" w:rsidR="00170CA5" w:rsidRPr="00170CA5" w:rsidRDefault="00170CA5" w:rsidP="00170CA5">
      <w:pPr>
        <w:tabs>
          <w:tab w:val="left" w:pos="567"/>
        </w:tabs>
        <w:contextualSpacing/>
        <w:jc w:val="both"/>
        <w:rPr>
          <w:rFonts w:ascii="Verdana" w:hAnsi="Verdana" w:cs="Arial"/>
          <w:bCs/>
          <w:sz w:val="20"/>
          <w:szCs w:val="20"/>
        </w:rPr>
      </w:pPr>
    </w:p>
    <w:p w14:paraId="64A9E1B7" w14:textId="76A1A286"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1.4.1.A1.24. </w:t>
      </w:r>
    </w:p>
    <w:p w14:paraId="04972C41" w14:textId="7D98A975"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Propósito: medir la concentración del portafolio de activos en actividades con alta intensidad de carbono, de modo que la entidad pueda analizar y mitigar el riesgo regulatorio, reputacional y de mercado vinculado a políticas de transición energética y descarbonización. </w:t>
      </w:r>
    </w:p>
    <w:p w14:paraId="36896227" w14:textId="77777777" w:rsidR="00170CA5" w:rsidRPr="00170CA5" w:rsidRDefault="00170CA5" w:rsidP="00170CA5">
      <w:pPr>
        <w:tabs>
          <w:tab w:val="left" w:pos="567"/>
        </w:tabs>
        <w:contextualSpacing/>
        <w:jc w:val="both"/>
        <w:rPr>
          <w:rFonts w:ascii="Verdana" w:hAnsi="Verdana" w:cs="Arial"/>
          <w:bCs/>
          <w:sz w:val="20"/>
          <w:szCs w:val="20"/>
        </w:rPr>
      </w:pPr>
    </w:p>
    <w:p w14:paraId="59545950" w14:textId="125BCCEF" w:rsidR="00170CA5" w:rsidRDefault="00170CA5" w:rsidP="00170CA5">
      <w:pPr>
        <w:tabs>
          <w:tab w:val="left" w:pos="567"/>
        </w:tabs>
        <w:jc w:val="both"/>
        <w:rPr>
          <w:rFonts w:ascii="Verdana" w:hAnsi="Verdana" w:cs="Arial"/>
          <w:bCs/>
          <w:sz w:val="20"/>
          <w:szCs w:val="20"/>
        </w:rPr>
      </w:pPr>
      <w:r>
        <w:rPr>
          <w:rFonts w:ascii="Verdana" w:hAnsi="Verdana" w:cs="Arial"/>
          <w:bCs/>
          <w:sz w:val="20"/>
          <w:szCs w:val="20"/>
        </w:rPr>
        <w:t xml:space="preserve">1.4.1.A1.25. </w:t>
      </w:r>
    </w:p>
    <w:p w14:paraId="4F872FE9" w14:textId="5F3A4420" w:rsidR="00170CA5" w:rsidRPr="00170CA5" w:rsidRDefault="00170CA5" w:rsidP="00170CA5">
      <w:pPr>
        <w:tabs>
          <w:tab w:val="left" w:pos="567"/>
        </w:tabs>
        <w:jc w:val="both"/>
        <w:rPr>
          <w:rFonts w:ascii="Verdana" w:hAnsi="Verdana" w:cs="Arial"/>
          <w:bCs/>
          <w:sz w:val="20"/>
          <w:szCs w:val="20"/>
        </w:rPr>
      </w:pPr>
      <w:r w:rsidRPr="00170CA5">
        <w:rPr>
          <w:rFonts w:ascii="Verdana" w:hAnsi="Verdana" w:cs="Arial"/>
          <w:bCs/>
          <w:sz w:val="20"/>
          <w:szCs w:val="20"/>
        </w:rPr>
        <w:t>Este indicador constituye una herramienta de medición que facilita la gestión del riesgo ambiental y social, incluido el climático, así como la toma de decisiones informadas, la planificación estratégica y el fortalecimiento de la resiliencia institucional frente a los desafíos climáticos. Este indicador no debe interpretarse como un mecanismo de exclusión de sectores o actividades en proceso de transición.</w:t>
      </w:r>
    </w:p>
    <w:p w14:paraId="1045CAE6" w14:textId="77777777" w:rsidR="00170CA5" w:rsidRPr="00170CA5" w:rsidRDefault="00170CA5" w:rsidP="00170CA5">
      <w:pPr>
        <w:tabs>
          <w:tab w:val="left" w:pos="567"/>
        </w:tabs>
        <w:rPr>
          <w:rFonts w:ascii="Verdana" w:hAnsi="Verdana" w:cs="Arial"/>
          <w:bCs/>
          <w:sz w:val="20"/>
          <w:szCs w:val="20"/>
        </w:rPr>
      </w:pPr>
    </w:p>
    <w:p w14:paraId="37F246C3" w14:textId="20E18F10"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1.4.1.A1.26. </w:t>
      </w:r>
    </w:p>
    <w:p w14:paraId="60859772" w14:textId="7A2D53BC"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Este indicador cuantifica la proporción de financiamiento expuesto a sectores dependientes de combustibles fósiles, permitiendo evaluar el grado de alineación de la cartera con trayectorias de emisiones compatibles con objetivos de neutralidad de carbono. </w:t>
      </w:r>
    </w:p>
    <w:p w14:paraId="000FCB9B" w14:textId="77777777" w:rsidR="00170CA5" w:rsidRPr="00170CA5" w:rsidRDefault="00170CA5" w:rsidP="00170CA5">
      <w:pPr>
        <w:tabs>
          <w:tab w:val="left" w:pos="567"/>
        </w:tabs>
        <w:contextualSpacing/>
        <w:jc w:val="both"/>
        <w:rPr>
          <w:rFonts w:ascii="Verdana" w:hAnsi="Verdana" w:cs="Arial"/>
          <w:bCs/>
          <w:sz w:val="20"/>
          <w:szCs w:val="20"/>
        </w:rPr>
      </w:pPr>
    </w:p>
    <w:p w14:paraId="18DB4A99" w14:textId="62BAA788" w:rsidR="00170CA5" w:rsidRDefault="00170CA5" w:rsidP="00170CA5">
      <w:pPr>
        <w:tabs>
          <w:tab w:val="left" w:pos="0"/>
        </w:tabs>
        <w:contextualSpacing/>
        <w:jc w:val="both"/>
        <w:rPr>
          <w:rFonts w:ascii="Verdana" w:hAnsi="Verdana" w:cs="Arial"/>
          <w:bCs/>
          <w:sz w:val="20"/>
          <w:szCs w:val="20"/>
        </w:rPr>
      </w:pPr>
      <w:r>
        <w:rPr>
          <w:rFonts w:ascii="Verdana" w:hAnsi="Verdana" w:cs="Arial"/>
          <w:bCs/>
          <w:sz w:val="20"/>
          <w:szCs w:val="20"/>
        </w:rPr>
        <w:t xml:space="preserve">1.4.1.A1.27. </w:t>
      </w:r>
    </w:p>
    <w:p w14:paraId="7902AEF4" w14:textId="73081A06" w:rsidR="00170CA5" w:rsidRPr="00170CA5" w:rsidRDefault="00170CA5" w:rsidP="00170CA5">
      <w:pPr>
        <w:tabs>
          <w:tab w:val="left" w:pos="0"/>
        </w:tabs>
        <w:contextualSpacing/>
        <w:jc w:val="both"/>
        <w:rPr>
          <w:rFonts w:ascii="Verdana" w:hAnsi="Verdana" w:cs="Arial"/>
          <w:bCs/>
          <w:sz w:val="20"/>
          <w:szCs w:val="20"/>
        </w:rPr>
      </w:pPr>
      <w:r w:rsidRPr="00170CA5">
        <w:rPr>
          <w:rFonts w:ascii="Verdana" w:hAnsi="Verdana" w:cs="Arial"/>
          <w:bCs/>
          <w:sz w:val="20"/>
          <w:szCs w:val="20"/>
        </w:rPr>
        <w:t xml:space="preserve">Este indicador puede ser utilizado por los establecimientos de crédito, las entidades aseguradoras y las entidades que administran recursos de terceros. </w:t>
      </w:r>
    </w:p>
    <w:p w14:paraId="76FEC8F0" w14:textId="77777777" w:rsidR="00170CA5" w:rsidRPr="00170CA5" w:rsidRDefault="00170CA5" w:rsidP="00170CA5">
      <w:pPr>
        <w:tabs>
          <w:tab w:val="left" w:pos="567"/>
        </w:tabs>
        <w:contextualSpacing/>
        <w:jc w:val="both"/>
        <w:rPr>
          <w:rFonts w:ascii="Verdana" w:hAnsi="Verdana" w:cs="Arial"/>
          <w:bCs/>
          <w:sz w:val="20"/>
          <w:szCs w:val="20"/>
        </w:rPr>
      </w:pPr>
    </w:p>
    <w:p w14:paraId="7FC5DBAB" w14:textId="3CAF4708"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1.4.1.A1.28. </w:t>
      </w:r>
    </w:p>
    <w:p w14:paraId="276FA83C" w14:textId="21F6451B"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Fórmula:   </w:t>
      </w:r>
    </w:p>
    <w:p w14:paraId="0195C1D2" w14:textId="77777777" w:rsidR="00170CA5" w:rsidRPr="00170CA5" w:rsidRDefault="00170CA5" w:rsidP="00170CA5">
      <w:pPr>
        <w:tabs>
          <w:tab w:val="left" w:pos="567"/>
        </w:tabs>
        <w:contextualSpacing/>
        <w:jc w:val="both"/>
        <w:rPr>
          <w:rFonts w:ascii="Verdana" w:hAnsi="Verdana" w:cs="Arial"/>
          <w:bCs/>
          <w:sz w:val="20"/>
          <w:szCs w:val="20"/>
        </w:rPr>
      </w:pPr>
    </w:p>
    <w:p w14:paraId="6939355B" w14:textId="07DD0316" w:rsidR="00170CA5" w:rsidRPr="00170CA5" w:rsidRDefault="00170CA5" w:rsidP="00170CA5">
      <w:pPr>
        <w:jc w:val="both"/>
        <w:rPr>
          <w:rFonts w:ascii="Verdana" w:eastAsia="Aptos" w:hAnsi="Verdana" w:cs="Aptos"/>
          <w:bCs/>
          <w:i/>
          <w:sz w:val="20"/>
          <w:szCs w:val="20"/>
        </w:rPr>
      </w:pPr>
      <m:oMathPara>
        <m:oMath>
          <m:r>
            <w:rPr>
              <w:rFonts w:ascii="Cambria Math" w:eastAsia="Aptos" w:hAnsi="Cambria Math" w:cs="Cambria Math"/>
              <w:sz w:val="20"/>
              <w:szCs w:val="20"/>
            </w:rPr>
            <m:t>IRTE=</m:t>
          </m:r>
          <m:f>
            <m:fPr>
              <m:ctrlPr>
                <w:rPr>
                  <w:rFonts w:ascii="Cambria Math" w:eastAsia="Aptos" w:hAnsi="Cambria Math" w:cs="Aptos"/>
                  <w:bCs/>
                  <w:i/>
                  <w:sz w:val="20"/>
                  <w:szCs w:val="20"/>
                </w:rPr>
              </m:ctrlPr>
            </m:fPr>
            <m:num>
              <m:nary>
                <m:naryPr>
                  <m:chr m:val="∑"/>
                  <m:limLoc m:val="undOvr"/>
                  <m:subHide m:val="1"/>
                  <m:supHide m:val="1"/>
                  <m:ctrlPr>
                    <w:rPr>
                      <w:rFonts w:ascii="Cambria Math" w:eastAsia="Aptos" w:hAnsi="Cambria Math" w:cs="Cambria Math"/>
                      <w:bCs/>
                      <w:i/>
                      <w:sz w:val="20"/>
                      <w:szCs w:val="20"/>
                    </w:rPr>
                  </m:ctrlPr>
                </m:naryPr>
                <m:sub/>
                <m:sup/>
                <m:e>
                  <m:r>
                    <w:rPr>
                      <w:rFonts w:ascii="Cambria Math" w:eastAsia="Aptos" w:hAnsi="Cambria Math" w:cs="Cambria Math"/>
                      <w:sz w:val="20"/>
                      <w:szCs w:val="20"/>
                    </w:rPr>
                    <m:t>(FIA en actividades intensas en carbono*Factor de riesgo de transición)</m:t>
                  </m:r>
                </m:e>
              </m:nary>
            </m:num>
            <m:den>
              <m:r>
                <w:rPr>
                  <w:rFonts w:ascii="Cambria Math" w:eastAsia="Aptos" w:hAnsi="Cambria Math" w:cs="Cambria Math"/>
                  <w:sz w:val="20"/>
                  <w:szCs w:val="20"/>
                </w:rPr>
                <m:t>Valor total de referencia</m:t>
              </m:r>
            </m:den>
          </m:f>
          <m:r>
            <w:rPr>
              <w:rFonts w:ascii="Cambria Math" w:eastAsia="Aptos" w:hAnsi="Cambria Math" w:cs="Aptos"/>
              <w:sz w:val="20"/>
              <w:szCs w:val="20"/>
            </w:rPr>
            <m:t>*100</m:t>
          </m:r>
        </m:oMath>
      </m:oMathPara>
    </w:p>
    <w:p w14:paraId="52C0DA5F" w14:textId="77777777" w:rsidR="00170CA5" w:rsidRPr="00170CA5" w:rsidRDefault="00170CA5" w:rsidP="00170CA5">
      <w:pPr>
        <w:tabs>
          <w:tab w:val="left" w:pos="567"/>
        </w:tabs>
        <w:contextualSpacing/>
        <w:jc w:val="both"/>
        <w:rPr>
          <w:rFonts w:ascii="Verdana" w:hAnsi="Verdana" w:cs="Arial"/>
          <w:bCs/>
          <w:sz w:val="20"/>
          <w:szCs w:val="20"/>
        </w:rPr>
      </w:pPr>
    </w:p>
    <w:p w14:paraId="1D337BB9" w14:textId="33BA3E38"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1.4.1.A1.29. </w:t>
      </w:r>
    </w:p>
    <w:p w14:paraId="4B864C8C" w14:textId="7D7F7188"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El índice se presenta como porcentaje y su medición puede ser anual, o en caso coyuntural se podrá realizar a consideración de la entidad vigilada.</w:t>
      </w:r>
    </w:p>
    <w:p w14:paraId="7A336F1F" w14:textId="77777777" w:rsidR="00170CA5" w:rsidRPr="00170CA5" w:rsidRDefault="00170CA5" w:rsidP="00170CA5">
      <w:pPr>
        <w:tabs>
          <w:tab w:val="left" w:pos="567"/>
        </w:tabs>
        <w:contextualSpacing/>
        <w:jc w:val="both"/>
        <w:rPr>
          <w:rFonts w:ascii="Verdana" w:hAnsi="Verdana" w:cs="Arial"/>
          <w:bCs/>
          <w:sz w:val="20"/>
          <w:szCs w:val="20"/>
        </w:rPr>
      </w:pPr>
    </w:p>
    <w:p w14:paraId="4EB67892" w14:textId="72B4F2AD"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1.4.1.A1.30. </w:t>
      </w:r>
    </w:p>
    <w:p w14:paraId="223AF76B" w14:textId="3938AFA1"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Variables:</w:t>
      </w:r>
    </w:p>
    <w:p w14:paraId="4B3280CA" w14:textId="77777777" w:rsidR="00170CA5" w:rsidRPr="00170CA5" w:rsidRDefault="00170CA5" w:rsidP="00170CA5">
      <w:pPr>
        <w:tabs>
          <w:tab w:val="left" w:pos="567"/>
        </w:tabs>
        <w:contextualSpacing/>
        <w:jc w:val="both"/>
        <w:rPr>
          <w:rFonts w:ascii="Verdana" w:hAnsi="Verdana" w:cs="Arial"/>
          <w:bCs/>
          <w:sz w:val="20"/>
          <w:szCs w:val="20"/>
        </w:rPr>
      </w:pPr>
    </w:p>
    <w:p w14:paraId="6B8392B5" w14:textId="5BA3FB16" w:rsidR="00170CA5" w:rsidRPr="00170CA5" w:rsidRDefault="00170CA5" w:rsidP="00170CA5">
      <w:pPr>
        <w:tabs>
          <w:tab w:val="left" w:pos="567"/>
        </w:tabs>
        <w:contextualSpacing/>
        <w:jc w:val="both"/>
        <w:rPr>
          <w:rFonts w:ascii="Verdana" w:hAnsi="Verdana" w:cs="Arial"/>
          <w:bCs/>
          <w:sz w:val="20"/>
          <w:szCs w:val="20"/>
        </w:rPr>
      </w:pPr>
      <m:oMath>
        <m:r>
          <w:rPr>
            <w:rFonts w:ascii="Cambria Math" w:eastAsia="Aptos" w:hAnsi="Cambria Math" w:cs="Cambria Math"/>
            <w:sz w:val="20"/>
            <w:szCs w:val="20"/>
          </w:rPr>
          <m:t>FIA en actividades intensas en carbono</m:t>
        </m:r>
      </m:oMath>
      <w:r w:rsidRPr="00170CA5">
        <w:rPr>
          <w:rFonts w:ascii="Verdana" w:hAnsi="Verdana" w:cs="Arial"/>
          <w:bCs/>
          <w:sz w:val="20"/>
          <w:szCs w:val="20"/>
        </w:rPr>
        <w:t>: es el monto en COP de las operaciones de crédito, inversión o aseguramiento realizado por parte de las entidades vigiladas en sectores de alto consumo de combustibles fósiles (petróleo y gas, minería, transporte de combustión, generación eléctrica fósil), considerando los principios de relevancia y materialidad.</w:t>
      </w:r>
    </w:p>
    <w:p w14:paraId="31A014FA" w14:textId="77777777" w:rsidR="00170CA5" w:rsidRPr="00170CA5" w:rsidRDefault="00170CA5" w:rsidP="00170CA5">
      <w:pPr>
        <w:tabs>
          <w:tab w:val="left" w:pos="567"/>
        </w:tabs>
        <w:contextualSpacing/>
        <w:jc w:val="both"/>
        <w:rPr>
          <w:rFonts w:ascii="Verdana" w:hAnsi="Verdana" w:cs="Arial"/>
          <w:bCs/>
          <w:sz w:val="20"/>
          <w:szCs w:val="20"/>
        </w:rPr>
      </w:pPr>
    </w:p>
    <w:p w14:paraId="655191F6" w14:textId="29FD2BE2" w:rsidR="00170CA5" w:rsidRPr="00170CA5" w:rsidRDefault="00170CA5" w:rsidP="00170CA5">
      <w:pPr>
        <w:tabs>
          <w:tab w:val="left" w:pos="567"/>
        </w:tabs>
        <w:contextualSpacing/>
        <w:jc w:val="both"/>
        <w:rPr>
          <w:rFonts w:ascii="Verdana" w:hAnsi="Verdana" w:cs="Arial"/>
          <w:bCs/>
          <w:sz w:val="20"/>
          <w:szCs w:val="20"/>
        </w:rPr>
      </w:pPr>
      <m:oMath>
        <m:r>
          <w:rPr>
            <w:rFonts w:ascii="Cambria Math" w:eastAsia="Aptos" w:hAnsi="Cambria Math" w:cs="Cambria Math"/>
            <w:sz w:val="20"/>
            <w:szCs w:val="20"/>
          </w:rPr>
          <m:t>Factor de riesgo de transición</m:t>
        </m:r>
      </m:oMath>
      <w:r w:rsidRPr="00170CA5">
        <w:rPr>
          <w:rFonts w:ascii="Verdana" w:hAnsi="Verdana" w:cs="Arial"/>
          <w:bCs/>
          <w:sz w:val="20"/>
          <w:szCs w:val="20"/>
        </w:rPr>
        <w:t>: es el ponderador asignado por la entidad vigilada, según el número y la criticidad de las actividades contaminantes identificadas. Este ponderador debe ser mayor a 0 y menor o igual a 1 siendo 1 el riesgo más alto.</w:t>
      </w:r>
    </w:p>
    <w:p w14:paraId="05596DBA" w14:textId="77777777" w:rsidR="00170CA5" w:rsidRPr="00170CA5" w:rsidRDefault="00170CA5" w:rsidP="00170CA5">
      <w:pPr>
        <w:tabs>
          <w:tab w:val="left" w:pos="567"/>
        </w:tabs>
        <w:contextualSpacing/>
        <w:jc w:val="both"/>
        <w:rPr>
          <w:rFonts w:ascii="Verdana" w:hAnsi="Verdana" w:cs="Arial"/>
          <w:bCs/>
          <w:sz w:val="20"/>
          <w:szCs w:val="20"/>
        </w:rPr>
      </w:pPr>
    </w:p>
    <w:p w14:paraId="52D32680" w14:textId="34D4000E" w:rsidR="00170CA5" w:rsidRPr="00170CA5" w:rsidRDefault="00170CA5" w:rsidP="00170CA5">
      <w:pPr>
        <w:tabs>
          <w:tab w:val="left" w:pos="567"/>
        </w:tabs>
        <w:contextualSpacing/>
        <w:jc w:val="both"/>
        <w:rPr>
          <w:rFonts w:ascii="Verdana" w:hAnsi="Verdana" w:cs="Arial"/>
          <w:bCs/>
          <w:sz w:val="20"/>
          <w:szCs w:val="20"/>
        </w:rPr>
      </w:pPr>
      <m:oMath>
        <m:r>
          <w:rPr>
            <w:rFonts w:ascii="Cambria Math" w:eastAsia="Aptos" w:hAnsi="Cambria Math" w:cs="Cambria Math"/>
            <w:sz w:val="20"/>
            <w:szCs w:val="20"/>
          </w:rPr>
          <w:lastRenderedPageBreak/>
          <m:t>Valor total de referencia</m:t>
        </m:r>
      </m:oMath>
      <w:r w:rsidRPr="00170CA5">
        <w:rPr>
          <w:rFonts w:ascii="Verdana" w:hAnsi="Verdana" w:cs="Arial"/>
          <w:bCs/>
          <w:sz w:val="20"/>
          <w:szCs w:val="20"/>
        </w:rPr>
        <w:t>: es el monto en COP correspondiente al valor agregado del portafolio de activos, considerando los principios de relevancia y materialidad.</w:t>
      </w:r>
    </w:p>
    <w:p w14:paraId="0978E39B" w14:textId="77777777" w:rsidR="00170CA5" w:rsidRPr="00170CA5" w:rsidRDefault="00170CA5" w:rsidP="00170CA5">
      <w:pPr>
        <w:tabs>
          <w:tab w:val="left" w:pos="567"/>
        </w:tabs>
        <w:contextualSpacing/>
        <w:jc w:val="both"/>
        <w:rPr>
          <w:rFonts w:ascii="Verdana" w:hAnsi="Verdana" w:cs="Arial"/>
          <w:bCs/>
          <w:sz w:val="20"/>
          <w:szCs w:val="20"/>
        </w:rPr>
      </w:pPr>
    </w:p>
    <w:p w14:paraId="3A706838" w14:textId="22CEDDA5"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1.4.1.A1.31. </w:t>
      </w:r>
    </w:p>
    <w:p w14:paraId="7DC06262" w14:textId="183B6A79"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Fuente: las fuentes señaladas a continuación, pueden ser utilizadas como insumo general para todas las variables de este indicador, según el criterio y disponibilidad de información de cada entidad.</w:t>
      </w:r>
    </w:p>
    <w:p w14:paraId="588B48D4" w14:textId="77777777" w:rsidR="00170CA5" w:rsidRPr="00170CA5" w:rsidRDefault="00170CA5" w:rsidP="00170CA5">
      <w:pPr>
        <w:tabs>
          <w:tab w:val="left" w:pos="567"/>
        </w:tabs>
        <w:contextualSpacing/>
        <w:jc w:val="both"/>
        <w:rPr>
          <w:rFonts w:ascii="Verdana" w:hAnsi="Verdana" w:cs="Arial"/>
          <w:bCs/>
          <w:sz w:val="20"/>
          <w:szCs w:val="20"/>
        </w:rPr>
      </w:pPr>
    </w:p>
    <w:p w14:paraId="7275D756" w14:textId="77777777" w:rsidR="00170CA5" w:rsidRPr="00170CA5" w:rsidRDefault="00170CA5" w:rsidP="0096789C">
      <w:pPr>
        <w:pStyle w:val="Prrafodelista"/>
        <w:numPr>
          <w:ilvl w:val="0"/>
          <w:numId w:val="2"/>
        </w:numPr>
        <w:tabs>
          <w:tab w:val="left" w:pos="567"/>
        </w:tabs>
        <w:ind w:left="567" w:hanging="567"/>
        <w:jc w:val="both"/>
        <w:rPr>
          <w:rFonts w:ascii="Verdana" w:hAnsi="Verdana" w:cs="Arial"/>
          <w:bCs/>
          <w:sz w:val="20"/>
          <w:szCs w:val="20"/>
        </w:rPr>
      </w:pPr>
      <w:r w:rsidRPr="00170CA5">
        <w:rPr>
          <w:rFonts w:ascii="Verdana" w:hAnsi="Verdana" w:cs="Arial"/>
          <w:bCs/>
          <w:sz w:val="20"/>
          <w:szCs w:val="20"/>
        </w:rPr>
        <w:t>MADS: Calculadora de carbono</w:t>
      </w:r>
    </w:p>
    <w:p w14:paraId="5FCE2115" w14:textId="77777777" w:rsidR="00EB5E9A" w:rsidRDefault="00EB5E9A" w:rsidP="00EB5E9A">
      <w:pPr>
        <w:pStyle w:val="Prrafodelista"/>
        <w:tabs>
          <w:tab w:val="left" w:pos="567"/>
        </w:tabs>
        <w:ind w:left="567"/>
        <w:jc w:val="both"/>
        <w:rPr>
          <w:rFonts w:ascii="Verdana" w:hAnsi="Verdana" w:cs="Arial"/>
          <w:bCs/>
          <w:sz w:val="20"/>
          <w:szCs w:val="20"/>
        </w:rPr>
      </w:pPr>
    </w:p>
    <w:p w14:paraId="2DD2F4C8" w14:textId="1121FC06" w:rsidR="00170CA5" w:rsidRPr="00170CA5" w:rsidRDefault="00170CA5" w:rsidP="0096789C">
      <w:pPr>
        <w:pStyle w:val="Prrafodelista"/>
        <w:numPr>
          <w:ilvl w:val="0"/>
          <w:numId w:val="2"/>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IDEAM: Inventario Nacional de Emisiones y Absorciones Atmosféricas de Colombia </w:t>
      </w:r>
    </w:p>
    <w:p w14:paraId="5A0DEA73" w14:textId="77777777" w:rsidR="00EB5E9A" w:rsidRDefault="00EB5E9A" w:rsidP="00EB5E9A">
      <w:pPr>
        <w:pStyle w:val="Prrafodelista"/>
        <w:tabs>
          <w:tab w:val="left" w:pos="567"/>
        </w:tabs>
        <w:ind w:left="567"/>
        <w:jc w:val="both"/>
        <w:rPr>
          <w:rFonts w:ascii="Verdana" w:hAnsi="Verdana" w:cs="Arial"/>
          <w:bCs/>
          <w:sz w:val="20"/>
          <w:szCs w:val="20"/>
        </w:rPr>
      </w:pPr>
    </w:p>
    <w:p w14:paraId="11055DEC" w14:textId="01D81799" w:rsidR="00170CA5" w:rsidRPr="00170CA5" w:rsidRDefault="00170CA5" w:rsidP="0096789C">
      <w:pPr>
        <w:pStyle w:val="Prrafodelista"/>
        <w:numPr>
          <w:ilvl w:val="0"/>
          <w:numId w:val="2"/>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DANE: Clasificación sectorial </w:t>
      </w:r>
    </w:p>
    <w:p w14:paraId="7D746A58" w14:textId="77777777" w:rsidR="00EB5E9A" w:rsidRDefault="00EB5E9A" w:rsidP="00EB5E9A">
      <w:pPr>
        <w:pStyle w:val="Prrafodelista"/>
        <w:tabs>
          <w:tab w:val="left" w:pos="567"/>
        </w:tabs>
        <w:ind w:left="567"/>
        <w:jc w:val="both"/>
        <w:rPr>
          <w:rFonts w:ascii="Verdana" w:hAnsi="Verdana" w:cs="Arial"/>
          <w:bCs/>
          <w:sz w:val="20"/>
          <w:szCs w:val="20"/>
        </w:rPr>
      </w:pPr>
    </w:p>
    <w:p w14:paraId="15F0E23B" w14:textId="62E81B83" w:rsidR="00170CA5" w:rsidRPr="00170CA5" w:rsidRDefault="00170CA5" w:rsidP="0096789C">
      <w:pPr>
        <w:pStyle w:val="Prrafodelista"/>
        <w:numPr>
          <w:ilvl w:val="0"/>
          <w:numId w:val="2"/>
        </w:numPr>
        <w:tabs>
          <w:tab w:val="left" w:pos="567"/>
        </w:tabs>
        <w:ind w:left="567" w:hanging="567"/>
        <w:jc w:val="both"/>
        <w:rPr>
          <w:rFonts w:ascii="Verdana" w:hAnsi="Verdana" w:cs="Arial"/>
          <w:bCs/>
          <w:sz w:val="20"/>
          <w:szCs w:val="20"/>
        </w:rPr>
      </w:pPr>
      <w:r w:rsidRPr="00170CA5">
        <w:rPr>
          <w:rFonts w:ascii="Verdana" w:hAnsi="Verdana" w:cs="Arial"/>
          <w:bCs/>
          <w:sz w:val="20"/>
          <w:szCs w:val="20"/>
        </w:rPr>
        <w:t>Ministerio de Minas y Energía: Políticas de transición energética justa</w:t>
      </w:r>
    </w:p>
    <w:p w14:paraId="5523AD73" w14:textId="77777777" w:rsidR="00170CA5" w:rsidRPr="00170CA5" w:rsidRDefault="00170CA5" w:rsidP="00170CA5">
      <w:pPr>
        <w:tabs>
          <w:tab w:val="left" w:pos="567"/>
        </w:tabs>
        <w:contextualSpacing/>
        <w:jc w:val="both"/>
        <w:rPr>
          <w:rFonts w:ascii="Verdana" w:hAnsi="Verdana" w:cs="Arial"/>
          <w:bCs/>
          <w:sz w:val="20"/>
          <w:szCs w:val="20"/>
        </w:rPr>
      </w:pPr>
    </w:p>
    <w:p w14:paraId="5BD6A0CD" w14:textId="087292BE"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1.4.1.A1.32. </w:t>
      </w:r>
    </w:p>
    <w:p w14:paraId="54C20193" w14:textId="44F73C71"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Cobertura: Sectorial.</w:t>
      </w:r>
    </w:p>
    <w:p w14:paraId="3A02144B" w14:textId="77777777" w:rsidR="00170CA5" w:rsidRDefault="00170CA5" w:rsidP="00170CA5">
      <w:pPr>
        <w:tabs>
          <w:tab w:val="left" w:pos="567"/>
        </w:tabs>
        <w:contextualSpacing/>
        <w:jc w:val="both"/>
        <w:rPr>
          <w:rFonts w:ascii="Verdana" w:hAnsi="Verdana" w:cs="Arial"/>
          <w:bCs/>
          <w:sz w:val="20"/>
          <w:szCs w:val="20"/>
        </w:rPr>
      </w:pPr>
    </w:p>
    <w:p w14:paraId="28BC3345" w14:textId="65138C81" w:rsidR="00170CA5" w:rsidRPr="00170CA5" w:rsidRDefault="00170CA5" w:rsidP="00170CA5">
      <w:pPr>
        <w:tabs>
          <w:tab w:val="left" w:pos="567"/>
        </w:tabs>
        <w:contextualSpacing/>
        <w:jc w:val="both"/>
        <w:rPr>
          <w:rFonts w:ascii="Verdana" w:hAnsi="Verdana" w:cs="Arial"/>
          <w:b/>
          <w:sz w:val="20"/>
          <w:szCs w:val="20"/>
        </w:rPr>
      </w:pPr>
      <w:r w:rsidRPr="00170CA5">
        <w:rPr>
          <w:rFonts w:ascii="Verdana" w:hAnsi="Verdana" w:cs="Arial"/>
          <w:b/>
          <w:sz w:val="20"/>
          <w:szCs w:val="20"/>
        </w:rPr>
        <w:t>Índice de Exposición al Riesgo Social – (IERS)</w:t>
      </w:r>
    </w:p>
    <w:p w14:paraId="570797FC" w14:textId="77777777" w:rsidR="00170CA5" w:rsidRPr="00170CA5" w:rsidRDefault="00170CA5" w:rsidP="00170CA5">
      <w:pPr>
        <w:tabs>
          <w:tab w:val="left" w:pos="567"/>
        </w:tabs>
        <w:contextualSpacing/>
        <w:jc w:val="both"/>
        <w:rPr>
          <w:rFonts w:ascii="Verdana" w:hAnsi="Verdana" w:cs="Arial"/>
          <w:bCs/>
          <w:sz w:val="20"/>
          <w:szCs w:val="20"/>
        </w:rPr>
      </w:pPr>
    </w:p>
    <w:p w14:paraId="46CBF7B0" w14:textId="708403E9"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1.4.1.A1.33. </w:t>
      </w:r>
    </w:p>
    <w:p w14:paraId="595E880B" w14:textId="0D992277"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Tipo de indicador: social.</w:t>
      </w:r>
    </w:p>
    <w:p w14:paraId="1A96049C" w14:textId="77777777" w:rsidR="00170CA5" w:rsidRPr="00170CA5" w:rsidRDefault="00170CA5" w:rsidP="00170CA5">
      <w:pPr>
        <w:tabs>
          <w:tab w:val="left" w:pos="567"/>
        </w:tabs>
        <w:contextualSpacing/>
        <w:jc w:val="both"/>
        <w:rPr>
          <w:rFonts w:ascii="Verdana" w:hAnsi="Verdana" w:cs="Arial"/>
          <w:bCs/>
          <w:sz w:val="20"/>
          <w:szCs w:val="20"/>
        </w:rPr>
      </w:pPr>
    </w:p>
    <w:p w14:paraId="0A6CDE4F" w14:textId="265F1E70"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1.4.1.A1.34. </w:t>
      </w:r>
    </w:p>
    <w:p w14:paraId="083B9CC2" w14:textId="52365BCE"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Propósito: cuantificar la exposición del portafolio de la entidad a riesgos sociales en proyectos u operaciones. Se compone del FIA, ponderado por un factor de impacto social (FIS) que refleja el grado de alineación a estándares internacionales</w:t>
      </w:r>
      <w:r w:rsidRPr="00170CA5">
        <w:rPr>
          <w:rStyle w:val="Refdenotaalpie"/>
          <w:rFonts w:ascii="Verdana" w:hAnsi="Verdana" w:cs="Arial"/>
          <w:bCs/>
          <w:sz w:val="20"/>
          <w:szCs w:val="20"/>
        </w:rPr>
        <w:footnoteReference w:id="1"/>
      </w:r>
      <w:r w:rsidRPr="00170CA5">
        <w:rPr>
          <w:rFonts w:ascii="Verdana" w:hAnsi="Verdana" w:cs="Arial"/>
          <w:bCs/>
          <w:sz w:val="20"/>
          <w:szCs w:val="20"/>
        </w:rPr>
        <w:t xml:space="preserve">, en relación con el valor total del portafolio de activos de la entidad vigilada. </w:t>
      </w:r>
    </w:p>
    <w:p w14:paraId="71F967E9" w14:textId="77777777" w:rsidR="00170CA5" w:rsidRPr="00170CA5" w:rsidRDefault="00170CA5" w:rsidP="00170CA5">
      <w:pPr>
        <w:tabs>
          <w:tab w:val="left" w:pos="567"/>
        </w:tabs>
        <w:contextualSpacing/>
        <w:jc w:val="both"/>
        <w:rPr>
          <w:rFonts w:ascii="Verdana" w:hAnsi="Verdana" w:cs="Arial"/>
          <w:bCs/>
          <w:sz w:val="20"/>
          <w:szCs w:val="20"/>
        </w:rPr>
      </w:pPr>
    </w:p>
    <w:p w14:paraId="3C6A84BF" w14:textId="61D7BB64"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1.4.1.A1.35. </w:t>
      </w:r>
    </w:p>
    <w:p w14:paraId="081440A5" w14:textId="311637E1"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Este indicador puede ser utilizado por los establecimientos de crédito, las entidades aseguradoras y las entidades que administran recursos de terceros. </w:t>
      </w:r>
    </w:p>
    <w:p w14:paraId="0C00BC1B" w14:textId="77777777" w:rsidR="00170CA5" w:rsidRPr="00170CA5" w:rsidRDefault="00170CA5" w:rsidP="00170CA5">
      <w:pPr>
        <w:tabs>
          <w:tab w:val="left" w:pos="567"/>
        </w:tabs>
        <w:contextualSpacing/>
        <w:jc w:val="both"/>
        <w:rPr>
          <w:rFonts w:ascii="Verdana" w:hAnsi="Verdana" w:cs="Arial"/>
          <w:bCs/>
          <w:sz w:val="20"/>
          <w:szCs w:val="20"/>
        </w:rPr>
      </w:pPr>
    </w:p>
    <w:p w14:paraId="03F23286" w14:textId="3BB7ED3F"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1.4.1.A1.36. </w:t>
      </w:r>
    </w:p>
    <w:p w14:paraId="2A22C775" w14:textId="63AE3FDA"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Fórmula:</w:t>
      </w:r>
    </w:p>
    <w:p w14:paraId="134A9E6F" w14:textId="16361FC3" w:rsidR="00170CA5" w:rsidRPr="00170CA5" w:rsidRDefault="00170CA5" w:rsidP="00170CA5">
      <w:pPr>
        <w:jc w:val="center"/>
        <w:rPr>
          <w:rFonts w:ascii="Verdana" w:hAnsi="Verdana"/>
          <w:bCs/>
          <w:sz w:val="20"/>
          <w:szCs w:val="20"/>
        </w:rPr>
      </w:pPr>
      <m:oMathPara>
        <m:oMath>
          <m:r>
            <w:rPr>
              <w:rFonts w:ascii="Cambria Math" w:hAnsi="Cambria Math"/>
              <w:sz w:val="20"/>
              <w:szCs w:val="20"/>
            </w:rPr>
            <m:t>IERS=</m:t>
          </m:r>
          <m:f>
            <m:fPr>
              <m:ctrlPr>
                <w:rPr>
                  <w:rFonts w:ascii="Cambria Math" w:hAnsi="Cambria Math"/>
                  <w:bCs/>
                  <w:sz w:val="20"/>
                  <w:szCs w:val="20"/>
                </w:rPr>
              </m:ctrlPr>
            </m:fPr>
            <m:num>
              <m:r>
                <w:rPr>
                  <w:rFonts w:ascii="Cambria Math" w:hAnsi="Cambria Math"/>
                  <w:sz w:val="20"/>
                  <w:szCs w:val="20"/>
                </w:rPr>
                <m:t>FIA×Factor de impacto social</m:t>
              </m:r>
            </m:num>
            <m:den>
              <m:r>
                <w:rPr>
                  <w:rFonts w:ascii="Cambria Math" w:hAnsi="Cambria Math"/>
                  <w:sz w:val="20"/>
                  <w:szCs w:val="20"/>
                </w:rPr>
                <m:t>Valor total de referencia</m:t>
              </m:r>
            </m:den>
          </m:f>
          <m:r>
            <w:rPr>
              <w:rFonts w:ascii="Cambria Math" w:hAnsi="Cambria Math"/>
              <w:sz w:val="20"/>
              <w:szCs w:val="20"/>
            </w:rPr>
            <m:t>×100</m:t>
          </m:r>
        </m:oMath>
      </m:oMathPara>
    </w:p>
    <w:p w14:paraId="715C4EB9" w14:textId="77777777" w:rsidR="00170CA5" w:rsidRPr="00170CA5" w:rsidRDefault="00170CA5" w:rsidP="00170CA5">
      <w:pPr>
        <w:tabs>
          <w:tab w:val="left" w:pos="567"/>
        </w:tabs>
        <w:contextualSpacing/>
        <w:jc w:val="both"/>
        <w:rPr>
          <w:rFonts w:ascii="Verdana" w:hAnsi="Verdana" w:cs="Arial"/>
          <w:bCs/>
          <w:sz w:val="20"/>
          <w:szCs w:val="20"/>
        </w:rPr>
      </w:pPr>
    </w:p>
    <w:p w14:paraId="2E718F1D" w14:textId="25062BEA"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1.4.1.A1.37. </w:t>
      </w:r>
    </w:p>
    <w:p w14:paraId="7D4505F7" w14:textId="3B5B08E8"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El índice se presenta como porcentaje y su medición puede ser actualizada acorde con disponibilidad de la fuente. </w:t>
      </w:r>
    </w:p>
    <w:p w14:paraId="5C02D12F" w14:textId="77777777" w:rsidR="00170CA5" w:rsidRPr="00170CA5" w:rsidRDefault="00170CA5" w:rsidP="00170CA5">
      <w:pPr>
        <w:tabs>
          <w:tab w:val="left" w:pos="567"/>
        </w:tabs>
        <w:contextualSpacing/>
        <w:jc w:val="both"/>
        <w:rPr>
          <w:rFonts w:ascii="Verdana" w:hAnsi="Verdana" w:cs="Arial"/>
          <w:bCs/>
          <w:sz w:val="20"/>
          <w:szCs w:val="20"/>
        </w:rPr>
      </w:pPr>
    </w:p>
    <w:p w14:paraId="3069B035" w14:textId="3AD1E047"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1.4.1.A1.38. </w:t>
      </w:r>
    </w:p>
    <w:p w14:paraId="731FED09" w14:textId="4DF44E39"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Variables:</w:t>
      </w:r>
    </w:p>
    <w:p w14:paraId="2AD560DE" w14:textId="77777777" w:rsidR="00170CA5" w:rsidRPr="00170CA5" w:rsidRDefault="00170CA5" w:rsidP="00170CA5">
      <w:pPr>
        <w:tabs>
          <w:tab w:val="left" w:pos="567"/>
        </w:tabs>
        <w:contextualSpacing/>
        <w:jc w:val="both"/>
        <w:rPr>
          <w:rFonts w:ascii="Verdana" w:hAnsi="Verdana" w:cs="Arial"/>
          <w:bCs/>
          <w:sz w:val="20"/>
          <w:szCs w:val="20"/>
        </w:rPr>
      </w:pPr>
    </w:p>
    <w:p w14:paraId="56F1DC05" w14:textId="3EABCC88"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FIA:</m:t>
        </m:r>
      </m:oMath>
      <w:r w:rsidRPr="00170CA5">
        <w:rPr>
          <w:rFonts w:ascii="Verdana" w:hAnsi="Verdana" w:cs="Arial"/>
          <w:bCs/>
          <w:sz w:val="20"/>
          <w:szCs w:val="20"/>
        </w:rPr>
        <w:t xml:space="preserve"> es el monto en COP de las operaciones de crédito, inversión o aseguramiento realizado por parte de las entidades vigiladas en zonas de alto riesgo social considerando los principios de relevancia y materialidad.</w:t>
      </w:r>
    </w:p>
    <w:p w14:paraId="17928E93" w14:textId="77777777" w:rsidR="00170CA5" w:rsidRPr="00170CA5" w:rsidRDefault="00170CA5" w:rsidP="00170CA5">
      <w:pPr>
        <w:tabs>
          <w:tab w:val="left" w:pos="567"/>
        </w:tabs>
        <w:contextualSpacing/>
        <w:jc w:val="both"/>
        <w:rPr>
          <w:rFonts w:ascii="Verdana" w:hAnsi="Verdana" w:cs="Arial"/>
          <w:bCs/>
          <w:sz w:val="20"/>
          <w:szCs w:val="20"/>
        </w:rPr>
      </w:pPr>
    </w:p>
    <w:p w14:paraId="6C746050" w14:textId="7E1C1247" w:rsidR="00170CA5" w:rsidRPr="00170CA5" w:rsidRDefault="00170CA5" w:rsidP="00170CA5">
      <w:pPr>
        <w:tabs>
          <w:tab w:val="left" w:pos="567"/>
        </w:tabs>
        <w:contextualSpacing/>
        <w:jc w:val="both"/>
        <w:rPr>
          <w:rFonts w:ascii="Verdana" w:hAnsi="Verdana" w:cs="Arial"/>
          <w:bCs/>
          <w:sz w:val="20"/>
          <w:szCs w:val="20"/>
          <w:lang w:val="es-CO"/>
        </w:rPr>
      </w:pPr>
      <m:oMath>
        <m:r>
          <w:rPr>
            <w:rFonts w:ascii="Cambria Math" w:hAnsi="Cambria Math"/>
            <w:sz w:val="20"/>
            <w:szCs w:val="20"/>
          </w:rPr>
          <m:t>Factor de impacto social</m:t>
        </m:r>
      </m:oMath>
      <w:r w:rsidRPr="00170CA5">
        <w:rPr>
          <w:rFonts w:ascii="Verdana" w:hAnsi="Verdana" w:cs="Arial"/>
          <w:bCs/>
          <w:sz w:val="20"/>
          <w:szCs w:val="20"/>
        </w:rPr>
        <w:t>: e</w:t>
      </w:r>
      <w:r w:rsidRPr="00170CA5">
        <w:rPr>
          <w:rFonts w:ascii="Verdana" w:hAnsi="Verdana" w:cs="Arial"/>
          <w:bCs/>
          <w:sz w:val="20"/>
          <w:szCs w:val="20"/>
          <w:lang w:val="es-CO"/>
        </w:rPr>
        <w:t xml:space="preserve">s un ponderador técnico que ajusta el nivel de exposición al riesgo social según el grado de alineación de una entidad vigilada con estándares internacionales de sostenibilidad social. El FIS actúa como multiplicador del riesgo </w:t>
      </w:r>
      <w:r w:rsidRPr="00170CA5">
        <w:rPr>
          <w:rFonts w:ascii="Verdana" w:hAnsi="Verdana" w:cs="Arial"/>
          <w:bCs/>
          <w:sz w:val="20"/>
          <w:szCs w:val="20"/>
          <w:lang w:val="es-CO"/>
        </w:rPr>
        <w:lastRenderedPageBreak/>
        <w:t>social en el cálculo del índice de exposición, y debe ser definido por cada entidad con base en criterios objetivos, verificables y documentados. La asignación del FIS debe considerar, entre otros, los siguientes elementos: existencia y madurez de sistemas de gestión social, políticas laborales y de trato justo, mecanismos de participación comunitaria y grupos de interés, inclusión y diversidad, protección efectiva de derechos de grupos vulnerables, cumplimiento de normativa nacional e internacional en materia social.</w:t>
      </w:r>
    </w:p>
    <w:p w14:paraId="479FBEC5" w14:textId="77777777" w:rsidR="00170CA5" w:rsidRPr="00170CA5" w:rsidRDefault="00170CA5" w:rsidP="00170CA5">
      <w:pPr>
        <w:tabs>
          <w:tab w:val="left" w:pos="567"/>
        </w:tabs>
        <w:contextualSpacing/>
        <w:jc w:val="both"/>
        <w:rPr>
          <w:rFonts w:ascii="Verdana" w:hAnsi="Verdana" w:cs="Arial"/>
          <w:bCs/>
          <w:sz w:val="20"/>
          <w:szCs w:val="20"/>
          <w:lang w:val="es-CO"/>
        </w:rPr>
      </w:pPr>
    </w:p>
    <w:p w14:paraId="6BF2764D" w14:textId="1699BC9B"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1.4.1.A1.39. </w:t>
      </w:r>
    </w:p>
    <w:p w14:paraId="307E21C4" w14:textId="05EE7FF3" w:rsidR="00170CA5" w:rsidRPr="00EB5E9A" w:rsidRDefault="00170CA5" w:rsidP="00170CA5">
      <w:pPr>
        <w:tabs>
          <w:tab w:val="left" w:pos="567"/>
        </w:tabs>
        <w:contextualSpacing/>
        <w:jc w:val="both"/>
        <w:rPr>
          <w:rFonts w:ascii="Verdana" w:hAnsi="Verdana" w:cs="Arial"/>
          <w:bCs/>
          <w:sz w:val="20"/>
          <w:szCs w:val="20"/>
          <w:lang w:val="es-CO"/>
        </w:rPr>
      </w:pPr>
      <w:r w:rsidRPr="00170CA5">
        <w:rPr>
          <w:rFonts w:ascii="Verdana" w:hAnsi="Verdana" w:cs="Arial"/>
          <w:bCs/>
          <w:sz w:val="20"/>
          <w:szCs w:val="20"/>
          <w:lang w:val="es-CO"/>
        </w:rPr>
        <w:t>Cada entidad debe realizar una autoevaluación técnica y asignar un nivel de alineación según el porcentaje de cumplimiento de estos criterios, utilizando los siguientes rangos sugeridos:</w:t>
      </w:r>
    </w:p>
    <w:p w14:paraId="71E22B66" w14:textId="77777777" w:rsidR="00170CA5" w:rsidRPr="00170CA5" w:rsidRDefault="00170CA5" w:rsidP="00170CA5">
      <w:pPr>
        <w:tabs>
          <w:tab w:val="left" w:pos="567"/>
        </w:tabs>
        <w:jc w:val="both"/>
        <w:rPr>
          <w:rFonts w:ascii="Verdana" w:hAnsi="Verdana" w:cs="Arial"/>
          <w:bCs/>
          <w:sz w:val="20"/>
          <w:szCs w:val="20"/>
        </w:rPr>
      </w:pPr>
    </w:p>
    <w:p w14:paraId="0CA7E809" w14:textId="77777777" w:rsidR="00170CA5" w:rsidRPr="00170CA5" w:rsidRDefault="00170CA5" w:rsidP="00EB5E9A">
      <w:pPr>
        <w:pStyle w:val="Prrafodelista"/>
        <w:numPr>
          <w:ilvl w:val="0"/>
          <w:numId w:val="3"/>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Alto: </w:t>
      </w:r>
      <w:r w:rsidRPr="00170CA5">
        <w:rPr>
          <w:rFonts w:ascii="Verdana" w:hAnsi="Verdana" w:cs="Arial"/>
          <w:bCs/>
          <w:sz w:val="20"/>
          <w:szCs w:val="20"/>
        </w:rPr>
        <w:tab/>
        <w:t>0%-33%</w:t>
      </w:r>
    </w:p>
    <w:p w14:paraId="09BE3607" w14:textId="77777777" w:rsidR="00EB5E9A" w:rsidRDefault="00EB5E9A" w:rsidP="00EB5E9A">
      <w:pPr>
        <w:pStyle w:val="Prrafodelista"/>
        <w:tabs>
          <w:tab w:val="left" w:pos="567"/>
        </w:tabs>
        <w:ind w:left="567"/>
        <w:jc w:val="both"/>
        <w:rPr>
          <w:rFonts w:ascii="Verdana" w:hAnsi="Verdana" w:cs="Arial"/>
          <w:bCs/>
          <w:sz w:val="20"/>
          <w:szCs w:val="20"/>
        </w:rPr>
      </w:pPr>
    </w:p>
    <w:p w14:paraId="207D5E0A" w14:textId="7E2C6F7E" w:rsidR="00170CA5" w:rsidRPr="00170CA5" w:rsidRDefault="00170CA5" w:rsidP="00EB5E9A">
      <w:pPr>
        <w:pStyle w:val="Prrafodelista"/>
        <w:numPr>
          <w:ilvl w:val="0"/>
          <w:numId w:val="3"/>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Medio: </w:t>
      </w:r>
      <w:r w:rsidRPr="00170CA5">
        <w:rPr>
          <w:rFonts w:ascii="Verdana" w:hAnsi="Verdana" w:cs="Arial"/>
          <w:bCs/>
          <w:sz w:val="20"/>
          <w:szCs w:val="20"/>
        </w:rPr>
        <w:tab/>
        <w:t>&gt;33% &lt;66%</w:t>
      </w:r>
    </w:p>
    <w:p w14:paraId="59AB6180" w14:textId="77777777" w:rsidR="00EB5E9A" w:rsidRDefault="00EB5E9A" w:rsidP="00EB5E9A">
      <w:pPr>
        <w:pStyle w:val="Prrafodelista"/>
        <w:tabs>
          <w:tab w:val="left" w:pos="567"/>
        </w:tabs>
        <w:ind w:left="567"/>
        <w:jc w:val="both"/>
        <w:rPr>
          <w:rFonts w:ascii="Verdana" w:hAnsi="Verdana" w:cs="Arial"/>
          <w:bCs/>
          <w:sz w:val="20"/>
          <w:szCs w:val="20"/>
        </w:rPr>
      </w:pPr>
    </w:p>
    <w:p w14:paraId="048D6507" w14:textId="612B6AC1" w:rsidR="00170CA5" w:rsidRPr="00170CA5" w:rsidRDefault="00170CA5" w:rsidP="00EB5E9A">
      <w:pPr>
        <w:pStyle w:val="Prrafodelista"/>
        <w:numPr>
          <w:ilvl w:val="0"/>
          <w:numId w:val="3"/>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Bajo: </w:t>
      </w:r>
      <w:r w:rsidRPr="00170CA5">
        <w:rPr>
          <w:rFonts w:ascii="Verdana" w:hAnsi="Verdana" w:cs="Arial"/>
          <w:bCs/>
          <w:sz w:val="20"/>
          <w:szCs w:val="20"/>
        </w:rPr>
        <w:tab/>
        <w:t>&gt;66%</w:t>
      </w:r>
    </w:p>
    <w:p w14:paraId="3F696448" w14:textId="77777777" w:rsidR="00170CA5" w:rsidRPr="00170CA5" w:rsidRDefault="00170CA5" w:rsidP="00170CA5">
      <w:pPr>
        <w:tabs>
          <w:tab w:val="left" w:pos="567"/>
        </w:tabs>
        <w:contextualSpacing/>
        <w:jc w:val="both"/>
        <w:rPr>
          <w:rFonts w:ascii="Verdana" w:hAnsi="Verdana" w:cs="Arial"/>
          <w:bCs/>
          <w:sz w:val="20"/>
          <w:szCs w:val="20"/>
        </w:rPr>
      </w:pPr>
    </w:p>
    <w:p w14:paraId="4938F479" w14:textId="6A90C8F8"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Valor total de referencia</m:t>
        </m:r>
      </m:oMath>
      <w:r w:rsidRPr="00170CA5">
        <w:rPr>
          <w:rFonts w:ascii="Verdana" w:hAnsi="Verdana" w:cs="Arial"/>
          <w:bCs/>
          <w:sz w:val="20"/>
          <w:szCs w:val="20"/>
        </w:rPr>
        <w:t>: es el monto en COP correspondiente al valor agregado del portafolio de activos, considerando los principios de relevancia y materialidad.</w:t>
      </w:r>
    </w:p>
    <w:p w14:paraId="2907A963" w14:textId="77777777" w:rsidR="00170CA5" w:rsidRPr="00170CA5" w:rsidRDefault="00170CA5" w:rsidP="00170CA5">
      <w:pPr>
        <w:tabs>
          <w:tab w:val="left" w:pos="567"/>
        </w:tabs>
        <w:contextualSpacing/>
        <w:jc w:val="both"/>
        <w:rPr>
          <w:rFonts w:ascii="Verdana" w:hAnsi="Verdana" w:cs="Arial"/>
          <w:bCs/>
          <w:sz w:val="20"/>
          <w:szCs w:val="20"/>
        </w:rPr>
      </w:pPr>
    </w:p>
    <w:p w14:paraId="48C25D5C" w14:textId="73262B63"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1.4.1.A1.40. </w:t>
      </w:r>
    </w:p>
    <w:p w14:paraId="25FA163B" w14:textId="6E337FFF"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Fuente: las fuentes señaladas a continuación pueden ser utilizadas de manera independiente o combinada como insumo general para la variable de Factor de impacto social, según el criterio de aplicación de la entidad.</w:t>
      </w:r>
    </w:p>
    <w:p w14:paraId="0633920E" w14:textId="77777777" w:rsidR="00170CA5" w:rsidRPr="00170CA5" w:rsidRDefault="00170CA5" w:rsidP="00170CA5">
      <w:pPr>
        <w:tabs>
          <w:tab w:val="left" w:pos="567"/>
        </w:tabs>
        <w:contextualSpacing/>
        <w:jc w:val="both"/>
        <w:rPr>
          <w:rFonts w:ascii="Verdana" w:hAnsi="Verdana" w:cs="Arial"/>
          <w:bCs/>
          <w:sz w:val="20"/>
          <w:szCs w:val="20"/>
        </w:rPr>
      </w:pPr>
    </w:p>
    <w:p w14:paraId="0376D48B" w14:textId="77777777" w:rsidR="00170CA5" w:rsidRPr="00170CA5" w:rsidRDefault="00170CA5" w:rsidP="00141D51">
      <w:pPr>
        <w:pStyle w:val="Prrafodelista"/>
        <w:numPr>
          <w:ilvl w:val="0"/>
          <w:numId w:val="4"/>
        </w:numPr>
        <w:tabs>
          <w:tab w:val="left" w:pos="567"/>
        </w:tabs>
        <w:ind w:left="567" w:hanging="567"/>
        <w:jc w:val="both"/>
        <w:rPr>
          <w:rFonts w:ascii="Verdana" w:hAnsi="Verdana" w:cs="Arial"/>
          <w:bCs/>
          <w:sz w:val="20"/>
          <w:szCs w:val="20"/>
        </w:rPr>
      </w:pPr>
      <w:r w:rsidRPr="00170CA5">
        <w:rPr>
          <w:rFonts w:ascii="Verdana" w:hAnsi="Verdana" w:cs="Arial"/>
          <w:bCs/>
          <w:sz w:val="20"/>
          <w:szCs w:val="20"/>
        </w:rPr>
        <w:t>Normas de Desempeño de la IFC: 1 a 5, 7 y 8.</w:t>
      </w:r>
    </w:p>
    <w:p w14:paraId="6222D98F" w14:textId="77777777" w:rsidR="00141D51" w:rsidRDefault="00141D51" w:rsidP="00141D51">
      <w:pPr>
        <w:pStyle w:val="Prrafodelista"/>
        <w:tabs>
          <w:tab w:val="left" w:pos="567"/>
        </w:tabs>
        <w:ind w:left="567"/>
        <w:jc w:val="both"/>
        <w:rPr>
          <w:rFonts w:ascii="Verdana" w:hAnsi="Verdana" w:cs="Arial"/>
          <w:bCs/>
          <w:sz w:val="20"/>
          <w:szCs w:val="20"/>
        </w:rPr>
      </w:pPr>
    </w:p>
    <w:p w14:paraId="00C4877B" w14:textId="5E9DADD6" w:rsidR="00170CA5" w:rsidRPr="00170CA5" w:rsidRDefault="00170CA5" w:rsidP="00141D51">
      <w:pPr>
        <w:pStyle w:val="Prrafodelista"/>
        <w:numPr>
          <w:ilvl w:val="0"/>
          <w:numId w:val="4"/>
        </w:numPr>
        <w:tabs>
          <w:tab w:val="left" w:pos="567"/>
        </w:tabs>
        <w:ind w:left="567" w:hanging="567"/>
        <w:jc w:val="both"/>
        <w:rPr>
          <w:rFonts w:ascii="Verdana" w:hAnsi="Verdana" w:cs="Arial"/>
          <w:bCs/>
          <w:sz w:val="20"/>
          <w:szCs w:val="20"/>
        </w:rPr>
      </w:pPr>
      <w:r w:rsidRPr="00170CA5">
        <w:rPr>
          <w:rFonts w:ascii="Verdana" w:hAnsi="Verdana" w:cs="Arial"/>
          <w:bCs/>
          <w:sz w:val="20"/>
          <w:szCs w:val="20"/>
        </w:rPr>
        <w:t>Objetivos de Desarrollo Sostenible (ODS) de la ONU: 1 a 5 y 10.</w:t>
      </w:r>
    </w:p>
    <w:p w14:paraId="3F71B840" w14:textId="77777777" w:rsidR="00141D51" w:rsidRDefault="00141D51" w:rsidP="00141D51">
      <w:pPr>
        <w:pStyle w:val="Prrafodelista"/>
        <w:tabs>
          <w:tab w:val="left" w:pos="567"/>
        </w:tabs>
        <w:ind w:left="567"/>
        <w:jc w:val="both"/>
        <w:rPr>
          <w:rFonts w:ascii="Verdana" w:hAnsi="Verdana" w:cs="Arial"/>
          <w:bCs/>
          <w:sz w:val="20"/>
          <w:szCs w:val="20"/>
        </w:rPr>
      </w:pPr>
    </w:p>
    <w:p w14:paraId="0E8E28E4" w14:textId="6E013596" w:rsidR="00170CA5" w:rsidRPr="00170CA5" w:rsidRDefault="00170CA5" w:rsidP="00141D51">
      <w:pPr>
        <w:pStyle w:val="Prrafodelista"/>
        <w:numPr>
          <w:ilvl w:val="0"/>
          <w:numId w:val="4"/>
        </w:numPr>
        <w:tabs>
          <w:tab w:val="left" w:pos="567"/>
        </w:tabs>
        <w:ind w:left="567" w:hanging="567"/>
        <w:jc w:val="both"/>
        <w:rPr>
          <w:rFonts w:ascii="Verdana" w:hAnsi="Verdana" w:cs="Arial"/>
          <w:bCs/>
          <w:sz w:val="20"/>
          <w:szCs w:val="20"/>
        </w:rPr>
      </w:pPr>
      <w:r w:rsidRPr="00170CA5">
        <w:rPr>
          <w:rFonts w:ascii="Verdana" w:hAnsi="Verdana" w:cs="Arial"/>
          <w:bCs/>
          <w:sz w:val="20"/>
          <w:szCs w:val="20"/>
        </w:rPr>
        <w:t>Cualquier otra que determine la entidad.</w:t>
      </w:r>
    </w:p>
    <w:p w14:paraId="7EC376F0" w14:textId="77777777" w:rsidR="00170CA5" w:rsidRPr="00170CA5" w:rsidRDefault="00170CA5" w:rsidP="00170CA5">
      <w:pPr>
        <w:tabs>
          <w:tab w:val="left" w:pos="567"/>
        </w:tabs>
        <w:contextualSpacing/>
        <w:jc w:val="both"/>
        <w:rPr>
          <w:rFonts w:ascii="Verdana" w:hAnsi="Verdana" w:cs="Arial"/>
          <w:bCs/>
          <w:sz w:val="20"/>
          <w:szCs w:val="20"/>
        </w:rPr>
      </w:pPr>
    </w:p>
    <w:p w14:paraId="42C8129A" w14:textId="1A5B5ADF"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1.4.1.A1.41. </w:t>
      </w:r>
    </w:p>
    <w:p w14:paraId="2BB6BECD" w14:textId="54BBC6D7"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Cobertura: El indicador se puede calcular a nivel de proyecto o nivel nacional.</w:t>
      </w:r>
    </w:p>
    <w:p w14:paraId="1CC28608" w14:textId="77777777" w:rsidR="00170CA5" w:rsidRPr="00170CA5" w:rsidRDefault="00170CA5" w:rsidP="00170CA5">
      <w:pPr>
        <w:tabs>
          <w:tab w:val="left" w:pos="567"/>
        </w:tabs>
        <w:contextualSpacing/>
        <w:jc w:val="both"/>
        <w:rPr>
          <w:rFonts w:ascii="Verdana" w:hAnsi="Verdana" w:cs="Arial"/>
          <w:bCs/>
          <w:sz w:val="20"/>
          <w:szCs w:val="20"/>
        </w:rPr>
      </w:pPr>
    </w:p>
    <w:p w14:paraId="6D9CA64A" w14:textId="107E7863" w:rsidR="00170CA5" w:rsidRPr="00170CA5" w:rsidRDefault="00170CA5" w:rsidP="00170CA5">
      <w:pPr>
        <w:tabs>
          <w:tab w:val="left" w:pos="567"/>
        </w:tabs>
        <w:contextualSpacing/>
        <w:jc w:val="both"/>
        <w:rPr>
          <w:rFonts w:ascii="Verdana" w:hAnsi="Verdana" w:cs="Arial"/>
          <w:b/>
          <w:sz w:val="20"/>
          <w:szCs w:val="20"/>
        </w:rPr>
      </w:pPr>
      <w:r w:rsidRPr="00170CA5">
        <w:rPr>
          <w:rFonts w:ascii="Verdana" w:hAnsi="Verdana" w:cs="Arial"/>
          <w:b/>
          <w:sz w:val="20"/>
          <w:szCs w:val="20"/>
        </w:rPr>
        <w:t>Portafolio en zonas de conflicto/violencia – (PZCV)</w:t>
      </w:r>
    </w:p>
    <w:p w14:paraId="2DA4465E" w14:textId="77777777" w:rsidR="00170CA5" w:rsidRPr="00170CA5" w:rsidRDefault="00170CA5" w:rsidP="00170CA5">
      <w:pPr>
        <w:tabs>
          <w:tab w:val="left" w:pos="567"/>
        </w:tabs>
        <w:contextualSpacing/>
        <w:jc w:val="both"/>
        <w:rPr>
          <w:rFonts w:ascii="Verdana" w:hAnsi="Verdana" w:cs="Arial"/>
          <w:bCs/>
          <w:sz w:val="20"/>
          <w:szCs w:val="20"/>
        </w:rPr>
      </w:pPr>
    </w:p>
    <w:p w14:paraId="71CCDDFF" w14:textId="5E4F2644"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1.4.1.A1.42. </w:t>
      </w:r>
    </w:p>
    <w:p w14:paraId="122C43C4" w14:textId="19231442"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Tipo de indicador: social.</w:t>
      </w:r>
    </w:p>
    <w:p w14:paraId="473071D9" w14:textId="77777777" w:rsidR="00170CA5" w:rsidRPr="00170CA5" w:rsidRDefault="00170CA5" w:rsidP="00170CA5">
      <w:pPr>
        <w:tabs>
          <w:tab w:val="left" w:pos="567"/>
        </w:tabs>
        <w:contextualSpacing/>
        <w:jc w:val="both"/>
        <w:rPr>
          <w:rFonts w:ascii="Verdana" w:hAnsi="Verdana" w:cs="Arial"/>
          <w:bCs/>
          <w:sz w:val="20"/>
          <w:szCs w:val="20"/>
        </w:rPr>
      </w:pPr>
    </w:p>
    <w:p w14:paraId="5A7451FE" w14:textId="6FD7F33A"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1.4.1.A1.43. </w:t>
      </w:r>
    </w:p>
    <w:p w14:paraId="288C5BCA" w14:textId="3B698732"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Propósito: cuantificar la proporción del portafolio expuesto en municipios o departamentos con alta presencia de víctimas del conflicto armado de conformidad con el Registro Único de Víctimas (RUV) de la Unidad de Víctimas.</w:t>
      </w:r>
    </w:p>
    <w:p w14:paraId="2BAA1293" w14:textId="77777777"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Su cálculo técnico consiste en dividir el monto total financiado, invertido o asegurado en la entidad territorial respectiva entre el valor total del portafolio de la entidad vigilada, expresando el resultado como porcentaje. </w:t>
      </w:r>
    </w:p>
    <w:p w14:paraId="3697621A" w14:textId="77777777" w:rsidR="00170CA5" w:rsidRPr="00170CA5" w:rsidRDefault="00170CA5" w:rsidP="00170CA5">
      <w:pPr>
        <w:tabs>
          <w:tab w:val="left" w:pos="567"/>
        </w:tabs>
        <w:contextualSpacing/>
        <w:jc w:val="both"/>
        <w:rPr>
          <w:rFonts w:ascii="Verdana" w:hAnsi="Verdana" w:cs="Arial"/>
          <w:bCs/>
          <w:sz w:val="20"/>
          <w:szCs w:val="20"/>
        </w:rPr>
      </w:pPr>
    </w:p>
    <w:p w14:paraId="10B35289" w14:textId="2C1697AD"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1.4.1.A1.44. </w:t>
      </w:r>
    </w:p>
    <w:p w14:paraId="689B4AF9" w14:textId="0F321DF1"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Desde una perspectiva de gestión, este indicador permite a las entidades vigiladas monitorear de manera diferenciada la exposición a riesgos sociales extremos. </w:t>
      </w:r>
    </w:p>
    <w:p w14:paraId="28980FE5" w14:textId="77777777" w:rsidR="00170CA5" w:rsidRDefault="00170CA5" w:rsidP="00170CA5">
      <w:pPr>
        <w:tabs>
          <w:tab w:val="left" w:pos="567"/>
        </w:tabs>
        <w:contextualSpacing/>
        <w:jc w:val="both"/>
        <w:rPr>
          <w:rFonts w:ascii="Verdana" w:hAnsi="Verdana" w:cs="Arial"/>
          <w:bCs/>
          <w:sz w:val="20"/>
          <w:szCs w:val="20"/>
        </w:rPr>
      </w:pPr>
    </w:p>
    <w:p w14:paraId="50DD2E88" w14:textId="77777777" w:rsidR="00141D51" w:rsidRPr="00170CA5" w:rsidRDefault="00141D51" w:rsidP="00170CA5">
      <w:pPr>
        <w:tabs>
          <w:tab w:val="left" w:pos="567"/>
        </w:tabs>
        <w:contextualSpacing/>
        <w:jc w:val="both"/>
        <w:rPr>
          <w:rFonts w:ascii="Verdana" w:hAnsi="Verdana" w:cs="Arial"/>
          <w:bCs/>
          <w:sz w:val="20"/>
          <w:szCs w:val="20"/>
        </w:rPr>
      </w:pPr>
    </w:p>
    <w:p w14:paraId="6A35E1ED" w14:textId="322B5903"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1.4.1.A1.45. </w:t>
      </w:r>
    </w:p>
    <w:p w14:paraId="6CA68B12" w14:textId="65863F43"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Este indicador puede ser utilizado por los establecimientos de crédito, las entidades aseguradoras y las entidades que administran recursos de terceros. </w:t>
      </w:r>
    </w:p>
    <w:p w14:paraId="4C322B4C" w14:textId="77777777" w:rsidR="00170CA5" w:rsidRPr="00170CA5" w:rsidRDefault="00170CA5" w:rsidP="00170CA5">
      <w:pPr>
        <w:tabs>
          <w:tab w:val="left" w:pos="567"/>
        </w:tabs>
        <w:contextualSpacing/>
        <w:jc w:val="both"/>
        <w:rPr>
          <w:rFonts w:ascii="Verdana" w:hAnsi="Verdana" w:cs="Arial"/>
          <w:bCs/>
          <w:sz w:val="20"/>
          <w:szCs w:val="20"/>
        </w:rPr>
      </w:pPr>
    </w:p>
    <w:p w14:paraId="57EC98E9" w14:textId="00721D6B"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1.4.1.A1.46. </w:t>
      </w:r>
    </w:p>
    <w:p w14:paraId="3BB3E2E5" w14:textId="2D2DFA6B"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Fórmula:</w:t>
      </w:r>
    </w:p>
    <w:p w14:paraId="7F142E53" w14:textId="77777777" w:rsidR="00170CA5" w:rsidRPr="00170CA5" w:rsidRDefault="00170CA5" w:rsidP="00170CA5">
      <w:pPr>
        <w:tabs>
          <w:tab w:val="left" w:pos="567"/>
        </w:tabs>
        <w:contextualSpacing/>
        <w:jc w:val="both"/>
        <w:rPr>
          <w:rFonts w:ascii="Verdana" w:hAnsi="Verdana" w:cs="Arial"/>
          <w:bCs/>
          <w:sz w:val="20"/>
          <w:szCs w:val="20"/>
        </w:rPr>
      </w:pPr>
    </w:p>
    <w:p w14:paraId="44421CC4" w14:textId="70AB4720" w:rsidR="00170CA5" w:rsidRPr="00170CA5" w:rsidRDefault="00170CA5" w:rsidP="00170CA5">
      <w:pPr>
        <w:jc w:val="center"/>
        <w:rPr>
          <w:rFonts w:ascii="Verdana" w:hAnsi="Verdana"/>
          <w:bCs/>
          <w:sz w:val="20"/>
          <w:szCs w:val="20"/>
        </w:rPr>
      </w:pPr>
      <m:oMathPara>
        <m:oMath>
          <m:r>
            <w:rPr>
              <w:rFonts w:ascii="Cambria Math" w:hAnsi="Cambria Math"/>
              <w:sz w:val="20"/>
              <w:szCs w:val="20"/>
            </w:rPr>
            <m:t>PZCV=</m:t>
          </m:r>
          <m:f>
            <m:fPr>
              <m:ctrlPr>
                <w:rPr>
                  <w:rFonts w:ascii="Cambria Math" w:hAnsi="Cambria Math"/>
                  <w:bCs/>
                  <w:sz w:val="20"/>
                  <w:szCs w:val="20"/>
                </w:rPr>
              </m:ctrlPr>
            </m:fPr>
            <m:num>
              <m:r>
                <w:rPr>
                  <w:rFonts w:ascii="Cambria Math" w:hAnsi="Cambria Math"/>
                  <w:sz w:val="20"/>
                  <w:szCs w:val="20"/>
                </w:rPr>
                <m:t> </m:t>
              </m:r>
              <m:nary>
                <m:naryPr>
                  <m:chr m:val="∑"/>
                  <m:ctrlPr>
                    <w:rPr>
                      <w:rFonts w:ascii="Cambria Math" w:hAnsi="Cambria Math"/>
                      <w:bCs/>
                      <w:sz w:val="20"/>
                      <w:szCs w:val="20"/>
                    </w:rPr>
                  </m:ctrlPr>
                </m:naryPr>
                <m:sub>
                  <m:r>
                    <w:rPr>
                      <w:rFonts w:ascii="Cambria Math" w:hAnsi="Cambria Math"/>
                      <w:sz w:val="20"/>
                      <w:szCs w:val="20"/>
                    </w:rPr>
                    <m:t>i=1</m:t>
                  </m:r>
                </m:sub>
                <m:sup>
                  <m:r>
                    <w:rPr>
                      <w:rFonts w:ascii="Cambria Math" w:hAnsi="Cambria Math"/>
                      <w:sz w:val="20"/>
                      <w:szCs w:val="20"/>
                    </w:rPr>
                    <m:t>n</m:t>
                  </m:r>
                </m:sup>
                <m:e>
                  <m:r>
                    <w:rPr>
                      <w:rFonts w:ascii="Cambria Math" w:hAnsi="Cambria Math"/>
                      <w:sz w:val="20"/>
                      <w:szCs w:val="20"/>
                    </w:rPr>
                    <m:t xml:space="preserve"> (FIA</m:t>
                  </m:r>
                </m:e>
              </m:nary>
              <m:r>
                <w:rPr>
                  <w:rFonts w:ascii="Cambria Math" w:hAnsi="Cambria Math"/>
                  <w:sz w:val="20"/>
                  <w:szCs w:val="20"/>
                </w:rPr>
                <m:t> </m:t>
              </m:r>
              <m:sSub>
                <m:sSubPr>
                  <m:ctrlPr>
                    <w:rPr>
                      <w:rFonts w:ascii="Cambria Math" w:hAnsi="Cambria Math"/>
                      <w:bCs/>
                      <w:i/>
                      <w:sz w:val="20"/>
                      <w:szCs w:val="20"/>
                    </w:rPr>
                  </m:ctrlPr>
                </m:sSubPr>
                <m:e>
                  <m:r>
                    <w:rPr>
                      <w:rFonts w:ascii="Cambria Math" w:hAnsi="Cambria Math"/>
                      <w:sz w:val="20"/>
                      <w:szCs w:val="20"/>
                    </w:rPr>
                    <m:t>alto riesgo social </m:t>
                  </m:r>
                </m:e>
                <m:sub>
                  <m:r>
                    <w:rPr>
                      <w:rFonts w:ascii="Cambria Math" w:hAnsi="Cambria Math"/>
                      <w:sz w:val="20"/>
                      <w:szCs w:val="20"/>
                    </w:rPr>
                    <m:t>i</m:t>
                  </m:r>
                </m:sub>
              </m:sSub>
              <m:r>
                <w:rPr>
                  <w:rFonts w:ascii="Cambria Math" w:hAnsi="Cambria Math"/>
                  <w:sz w:val="20"/>
                  <w:szCs w:val="20"/>
                </w:rPr>
                <m:t>×% Víctimas del conflicto armado por entidad territorial</m:t>
              </m:r>
              <m:sSub>
                <m:sSubPr>
                  <m:ctrlPr>
                    <w:rPr>
                      <w:rFonts w:ascii="Cambria Math" w:hAnsi="Cambria Math"/>
                      <w:bCs/>
                      <w:i/>
                      <w:sz w:val="20"/>
                      <w:szCs w:val="20"/>
                    </w:rPr>
                  </m:ctrlPr>
                </m:sSubPr>
                <m:e>
                  <m:r>
                    <w:rPr>
                      <w:rFonts w:ascii="Cambria Math" w:hAnsi="Cambria Math"/>
                      <w:sz w:val="20"/>
                      <w:szCs w:val="20"/>
                    </w:rPr>
                    <m:t> </m:t>
                  </m:r>
                </m:e>
                <m:sub>
                  <m:r>
                    <w:rPr>
                      <w:rFonts w:ascii="Cambria Math" w:hAnsi="Cambria Math"/>
                      <w:sz w:val="20"/>
                      <w:szCs w:val="20"/>
                    </w:rPr>
                    <m:t>i</m:t>
                  </m:r>
                </m:sub>
              </m:sSub>
              <m:r>
                <w:rPr>
                  <w:rFonts w:ascii="Cambria Math" w:hAnsi="Cambria Math"/>
                  <w:sz w:val="20"/>
                  <w:szCs w:val="20"/>
                </w:rPr>
                <m:t>)</m:t>
              </m:r>
            </m:num>
            <m:den>
              <m:r>
                <w:rPr>
                  <w:rFonts w:ascii="Cambria Math" w:hAnsi="Cambria Math"/>
                  <w:sz w:val="20"/>
                  <w:szCs w:val="20"/>
                </w:rPr>
                <m:t>Valor total de referencia</m:t>
              </m:r>
            </m:den>
          </m:f>
          <m:r>
            <w:rPr>
              <w:rFonts w:ascii="Cambria Math" w:hAnsi="Cambria Math"/>
              <w:sz w:val="20"/>
              <w:szCs w:val="20"/>
            </w:rPr>
            <m:t>×100</m:t>
          </m:r>
        </m:oMath>
      </m:oMathPara>
    </w:p>
    <w:p w14:paraId="3756535C" w14:textId="77777777" w:rsidR="00170CA5" w:rsidRPr="00170CA5" w:rsidRDefault="00170CA5" w:rsidP="00170CA5">
      <w:pPr>
        <w:tabs>
          <w:tab w:val="left" w:pos="567"/>
        </w:tabs>
        <w:contextualSpacing/>
        <w:jc w:val="both"/>
        <w:rPr>
          <w:rFonts w:ascii="Verdana" w:hAnsi="Verdana" w:cs="Arial"/>
          <w:bCs/>
          <w:sz w:val="20"/>
          <w:szCs w:val="20"/>
        </w:rPr>
      </w:pPr>
    </w:p>
    <w:p w14:paraId="7A5FDCDD" w14:textId="333E3493"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1.4.1.A1.47. </w:t>
      </w:r>
    </w:p>
    <w:p w14:paraId="05C8C731" w14:textId="67170D23"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El índice se presenta como porcentaje y su medición puede ser actualizada acorde con la disponibilidad de la fuente. </w:t>
      </w:r>
    </w:p>
    <w:p w14:paraId="028E6351" w14:textId="77777777" w:rsidR="00170CA5" w:rsidRPr="00170CA5" w:rsidRDefault="00170CA5" w:rsidP="00170CA5">
      <w:pPr>
        <w:tabs>
          <w:tab w:val="left" w:pos="567"/>
        </w:tabs>
        <w:contextualSpacing/>
        <w:jc w:val="both"/>
        <w:rPr>
          <w:rFonts w:ascii="Verdana" w:hAnsi="Verdana" w:cs="Arial"/>
          <w:bCs/>
          <w:sz w:val="20"/>
          <w:szCs w:val="20"/>
        </w:rPr>
      </w:pPr>
    </w:p>
    <w:p w14:paraId="7B155FE2" w14:textId="4A0D4585"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1.4.1.A1.48. </w:t>
      </w:r>
    </w:p>
    <w:p w14:paraId="2B84DCF7" w14:textId="5D93684E"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Variables:</w:t>
      </w:r>
    </w:p>
    <w:p w14:paraId="231DAE9A" w14:textId="77777777" w:rsidR="00170CA5" w:rsidRPr="00170CA5" w:rsidRDefault="00170CA5" w:rsidP="00170CA5">
      <w:pPr>
        <w:tabs>
          <w:tab w:val="left" w:pos="567"/>
        </w:tabs>
        <w:contextualSpacing/>
        <w:jc w:val="both"/>
        <w:rPr>
          <w:rFonts w:ascii="Verdana" w:hAnsi="Verdana" w:cs="Arial"/>
          <w:bCs/>
          <w:sz w:val="20"/>
          <w:szCs w:val="20"/>
        </w:rPr>
      </w:pPr>
    </w:p>
    <w:p w14:paraId="44BFFD45" w14:textId="343E15A7"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 FIA alto riesgo social</m:t>
        </m:r>
      </m:oMath>
      <w:r w:rsidRPr="00170CA5">
        <w:rPr>
          <w:rFonts w:ascii="Verdana" w:hAnsi="Verdana" w:cs="Arial"/>
          <w:bCs/>
          <w:sz w:val="20"/>
          <w:szCs w:val="20"/>
        </w:rPr>
        <w:t>: monto financiado, invertido o asegurado en entidades territoriales con alta presencia de víctimas del conflicto armado de conformidad con el Registro Único de Víctimas (RUV) de la Unidad de Víctimas.</w:t>
      </w:r>
    </w:p>
    <w:p w14:paraId="14642A2B" w14:textId="77777777" w:rsidR="00170CA5" w:rsidRPr="00170CA5" w:rsidRDefault="00170CA5" w:rsidP="00170CA5">
      <w:pPr>
        <w:tabs>
          <w:tab w:val="left" w:pos="567"/>
        </w:tabs>
        <w:contextualSpacing/>
        <w:jc w:val="both"/>
        <w:rPr>
          <w:rFonts w:ascii="Verdana" w:hAnsi="Verdana" w:cs="Arial"/>
          <w:bCs/>
          <w:sz w:val="20"/>
          <w:szCs w:val="20"/>
        </w:rPr>
      </w:pPr>
    </w:p>
    <w:p w14:paraId="1554EE4F" w14:textId="4EC5A926"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 i</m:t>
        </m:r>
      </m:oMath>
      <w:r w:rsidRPr="00170CA5">
        <w:rPr>
          <w:rFonts w:ascii="Verdana" w:hAnsi="Verdana" w:cs="Arial"/>
          <w:bCs/>
          <w:sz w:val="20"/>
          <w:szCs w:val="20"/>
        </w:rPr>
        <w:t>: entidad territorial (municipios o departamentos, según la elección de la entidad vigilada) con alta presencia de víctimas del conflicto armado de conformidad con el Registro Único de Víctimas (RUV) de la Unidad de Víctimas.</w:t>
      </w:r>
    </w:p>
    <w:p w14:paraId="7646F921" w14:textId="77777777" w:rsidR="00170CA5" w:rsidRPr="00170CA5" w:rsidRDefault="00170CA5" w:rsidP="00170CA5">
      <w:pPr>
        <w:tabs>
          <w:tab w:val="left" w:pos="567"/>
        </w:tabs>
        <w:contextualSpacing/>
        <w:jc w:val="both"/>
        <w:rPr>
          <w:rFonts w:ascii="Verdana" w:hAnsi="Verdana" w:cs="Arial"/>
          <w:bCs/>
          <w:sz w:val="20"/>
          <w:szCs w:val="20"/>
        </w:rPr>
      </w:pPr>
    </w:p>
    <w:p w14:paraId="1BD05C2E" w14:textId="26CD0B23"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 n</m:t>
        </m:r>
      </m:oMath>
      <w:r w:rsidRPr="00170CA5">
        <w:rPr>
          <w:rFonts w:ascii="Verdana" w:hAnsi="Verdana" w:cs="Arial"/>
          <w:bCs/>
          <w:sz w:val="20"/>
          <w:szCs w:val="20"/>
        </w:rPr>
        <w:t>: total de entidades territoriales (municipios o departamentos según la elección de la entidad vigilada) con alta presencia de víctimas del conflicto armado de conformidad con el Registro Único de Víctimas (RUV) de la Unidad de Víctimas.</w:t>
      </w:r>
    </w:p>
    <w:p w14:paraId="236D077C" w14:textId="77777777" w:rsidR="00170CA5" w:rsidRPr="00170CA5" w:rsidRDefault="00170CA5" w:rsidP="00170CA5">
      <w:pPr>
        <w:tabs>
          <w:tab w:val="left" w:pos="567"/>
        </w:tabs>
        <w:contextualSpacing/>
        <w:jc w:val="both"/>
        <w:rPr>
          <w:rFonts w:ascii="Verdana" w:hAnsi="Verdana" w:cs="Arial"/>
          <w:bCs/>
          <w:sz w:val="20"/>
          <w:szCs w:val="20"/>
        </w:rPr>
      </w:pPr>
    </w:p>
    <w:p w14:paraId="28C4F16C" w14:textId="5ABD08B3"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% Víctimas del conflicto armado por entidad territorial</m:t>
        </m:r>
      </m:oMath>
      <w:r w:rsidRPr="00170CA5">
        <w:rPr>
          <w:rFonts w:ascii="Verdana" w:hAnsi="Verdana" w:cs="Arial"/>
          <w:bCs/>
          <w:sz w:val="20"/>
          <w:szCs w:val="20"/>
        </w:rPr>
        <w:t xml:space="preserve">: corresponde a la proporción de víctimas del conflicto armado en relación con la población total de la entidad territorial (municipio o departamento, según la elección de la entidad vigilada). </w:t>
      </w:r>
    </w:p>
    <w:p w14:paraId="266E79C1" w14:textId="77777777" w:rsidR="00170CA5" w:rsidRPr="00170CA5" w:rsidRDefault="00170CA5" w:rsidP="00170CA5">
      <w:pPr>
        <w:tabs>
          <w:tab w:val="left" w:pos="567"/>
        </w:tabs>
        <w:contextualSpacing/>
        <w:jc w:val="both"/>
        <w:rPr>
          <w:rFonts w:ascii="Verdana" w:hAnsi="Verdana" w:cs="Arial"/>
          <w:bCs/>
          <w:sz w:val="20"/>
          <w:szCs w:val="20"/>
        </w:rPr>
      </w:pPr>
    </w:p>
    <w:p w14:paraId="77419975" w14:textId="75704F97"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sz w:val="20"/>
            <w:szCs w:val="20"/>
          </w:rPr>
          <m:t>Valor total de referencia</m:t>
        </m:r>
      </m:oMath>
      <w:r w:rsidRPr="00170CA5">
        <w:rPr>
          <w:rFonts w:ascii="Verdana" w:hAnsi="Verdana" w:cs="Arial"/>
          <w:bCs/>
          <w:sz w:val="20"/>
          <w:szCs w:val="20"/>
        </w:rPr>
        <w:t>: es el monto en COP correspondiente al valor agregado del portafolio de activos, considerando los principios de relevancia y materialidad.</w:t>
      </w:r>
    </w:p>
    <w:p w14:paraId="2AA90E1F" w14:textId="77777777" w:rsidR="00170CA5" w:rsidRPr="00170CA5" w:rsidRDefault="00170CA5" w:rsidP="00170CA5">
      <w:pPr>
        <w:tabs>
          <w:tab w:val="left" w:pos="567"/>
        </w:tabs>
        <w:contextualSpacing/>
        <w:jc w:val="both"/>
        <w:rPr>
          <w:rFonts w:ascii="Verdana" w:hAnsi="Verdana" w:cs="Arial"/>
          <w:bCs/>
          <w:sz w:val="20"/>
          <w:szCs w:val="20"/>
        </w:rPr>
      </w:pPr>
    </w:p>
    <w:p w14:paraId="1AD9ABE8" w14:textId="235ED533"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1.4.1.A1.49. </w:t>
      </w:r>
    </w:p>
    <w:p w14:paraId="032477DB" w14:textId="11B78515"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Fuente: </w:t>
      </w:r>
      <w:r>
        <w:rPr>
          <w:rFonts w:ascii="Verdana" w:hAnsi="Verdana" w:cs="Arial"/>
          <w:bCs/>
          <w:sz w:val="20"/>
          <w:szCs w:val="20"/>
        </w:rPr>
        <w:t xml:space="preserve"> </w:t>
      </w:r>
      <w:r w:rsidRPr="00170CA5">
        <w:rPr>
          <w:rFonts w:ascii="Verdana" w:hAnsi="Verdana" w:cs="Arial"/>
          <w:bCs/>
          <w:sz w:val="20"/>
          <w:szCs w:val="20"/>
        </w:rPr>
        <w:t>Registro Único de Víctimas (RUV) de la Unidad de Víctimas: se debe consultar el Registro Único de Víctimas (RUV). Para el cálculo de las variables se debe tomar la información por municipio o departamento, según la elección de la entidad vigilada</w:t>
      </w:r>
    </w:p>
    <w:p w14:paraId="2916B5EC" w14:textId="77777777" w:rsidR="00170CA5" w:rsidRPr="00170CA5" w:rsidRDefault="00170CA5" w:rsidP="00170CA5">
      <w:pPr>
        <w:tabs>
          <w:tab w:val="left" w:pos="567"/>
        </w:tabs>
        <w:contextualSpacing/>
        <w:jc w:val="both"/>
        <w:rPr>
          <w:rFonts w:ascii="Verdana" w:hAnsi="Verdana" w:cs="Arial"/>
          <w:bCs/>
          <w:sz w:val="20"/>
          <w:szCs w:val="20"/>
        </w:rPr>
      </w:pPr>
    </w:p>
    <w:p w14:paraId="29CFB492" w14:textId="44BE4373"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1.4.1.A1.50. </w:t>
      </w:r>
    </w:p>
    <w:p w14:paraId="674DDC67" w14:textId="2E87C650"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Cobertura: Entidad Territorial (Municipal o Departamental).</w:t>
      </w:r>
    </w:p>
    <w:p w14:paraId="310D38B4" w14:textId="77777777" w:rsidR="00170CA5" w:rsidRPr="00170CA5" w:rsidRDefault="00170CA5" w:rsidP="00170CA5">
      <w:pPr>
        <w:tabs>
          <w:tab w:val="left" w:pos="567"/>
        </w:tabs>
        <w:contextualSpacing/>
        <w:jc w:val="both"/>
        <w:rPr>
          <w:rFonts w:ascii="Verdana" w:hAnsi="Verdana" w:cs="Arial"/>
          <w:bCs/>
          <w:sz w:val="20"/>
          <w:szCs w:val="20"/>
        </w:rPr>
      </w:pPr>
    </w:p>
    <w:p w14:paraId="634530B3" w14:textId="48793FE9" w:rsidR="00170CA5" w:rsidRPr="00170CA5" w:rsidRDefault="00170CA5" w:rsidP="00170CA5">
      <w:pPr>
        <w:tabs>
          <w:tab w:val="left" w:pos="567"/>
        </w:tabs>
        <w:contextualSpacing/>
        <w:jc w:val="both"/>
        <w:rPr>
          <w:rFonts w:ascii="Verdana" w:hAnsi="Verdana" w:cs="Arial"/>
          <w:b/>
          <w:sz w:val="20"/>
          <w:szCs w:val="20"/>
        </w:rPr>
      </w:pPr>
      <w:r w:rsidRPr="00170CA5">
        <w:rPr>
          <w:rFonts w:ascii="Verdana" w:hAnsi="Verdana" w:cs="Arial"/>
          <w:b/>
          <w:sz w:val="20"/>
          <w:szCs w:val="20"/>
        </w:rPr>
        <w:t>Participación en Programas de Financiamiento Climático Internacional – (PFCI)</w:t>
      </w:r>
    </w:p>
    <w:p w14:paraId="706A1EA9" w14:textId="77777777" w:rsidR="00170CA5" w:rsidRPr="00170CA5" w:rsidRDefault="00170CA5" w:rsidP="00170CA5">
      <w:pPr>
        <w:tabs>
          <w:tab w:val="left" w:pos="567"/>
        </w:tabs>
        <w:contextualSpacing/>
        <w:jc w:val="both"/>
        <w:rPr>
          <w:rFonts w:ascii="Verdana" w:hAnsi="Verdana" w:cs="Arial"/>
          <w:bCs/>
          <w:sz w:val="20"/>
          <w:szCs w:val="20"/>
        </w:rPr>
      </w:pPr>
    </w:p>
    <w:p w14:paraId="3EBA3219" w14:textId="12E264CC"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1.4.1.A1.51. </w:t>
      </w:r>
    </w:p>
    <w:p w14:paraId="32273F38" w14:textId="2A0C8E42"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Tipo de indicador: Resultado / Impacto.</w:t>
      </w:r>
    </w:p>
    <w:p w14:paraId="26B10AB5" w14:textId="77777777" w:rsidR="00170CA5" w:rsidRPr="00170CA5" w:rsidRDefault="00170CA5" w:rsidP="00170CA5">
      <w:pPr>
        <w:tabs>
          <w:tab w:val="left" w:pos="567"/>
        </w:tabs>
        <w:contextualSpacing/>
        <w:jc w:val="both"/>
        <w:rPr>
          <w:rFonts w:ascii="Verdana" w:hAnsi="Verdana" w:cs="Arial"/>
          <w:bCs/>
          <w:sz w:val="20"/>
          <w:szCs w:val="20"/>
        </w:rPr>
      </w:pPr>
    </w:p>
    <w:p w14:paraId="4F350CBC" w14:textId="5FD58DE4"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1.4.1.A1.52. </w:t>
      </w:r>
    </w:p>
    <w:p w14:paraId="70F4808B" w14:textId="6D040B5E"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Propósito: medir la proporción de recursos provenientes de fondos internacionales para el clima frente al total del financiamiento estructurado por la entidad en proyectos alineados con objetivos climáticos, facilitando reconocer el entorno financiero habilitante para la sostenibilidad. El indicador se puede percibir también como una tasa de acceso a fondos internacionales para clima.</w:t>
      </w:r>
    </w:p>
    <w:p w14:paraId="6EF43693" w14:textId="77777777" w:rsidR="00170CA5" w:rsidRPr="00170CA5" w:rsidRDefault="00170CA5" w:rsidP="00170CA5">
      <w:pPr>
        <w:tabs>
          <w:tab w:val="left" w:pos="567"/>
        </w:tabs>
        <w:contextualSpacing/>
        <w:jc w:val="both"/>
        <w:rPr>
          <w:rFonts w:ascii="Verdana" w:hAnsi="Verdana" w:cs="Arial"/>
          <w:bCs/>
          <w:sz w:val="20"/>
          <w:szCs w:val="20"/>
        </w:rPr>
      </w:pPr>
    </w:p>
    <w:p w14:paraId="1457A083" w14:textId="2C5E713E"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lastRenderedPageBreak/>
        <w:t xml:space="preserve">1.4.1.A1.53. </w:t>
      </w:r>
    </w:p>
    <w:p w14:paraId="29DE9CC4" w14:textId="4894ED12"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Este indicador puede ser utilizado por los establecimientos de crédito, las entidades aseguradoras y las entidades que administran recursos de terceros. </w:t>
      </w:r>
    </w:p>
    <w:p w14:paraId="5C30CC50" w14:textId="77777777" w:rsidR="00170CA5" w:rsidRPr="00170CA5" w:rsidRDefault="00170CA5" w:rsidP="00170CA5">
      <w:pPr>
        <w:tabs>
          <w:tab w:val="left" w:pos="567"/>
        </w:tabs>
        <w:contextualSpacing/>
        <w:jc w:val="both"/>
        <w:rPr>
          <w:rFonts w:ascii="Verdana" w:hAnsi="Verdana" w:cs="Arial"/>
          <w:bCs/>
          <w:sz w:val="20"/>
          <w:szCs w:val="20"/>
        </w:rPr>
      </w:pPr>
    </w:p>
    <w:p w14:paraId="31A60C7B" w14:textId="71CAA54F"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1.4.1.A1.54. </w:t>
      </w:r>
    </w:p>
    <w:p w14:paraId="571B1358" w14:textId="4A39A379"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Fórmula:</w:t>
      </w:r>
    </w:p>
    <w:p w14:paraId="44C20197" w14:textId="77777777" w:rsidR="00170CA5" w:rsidRPr="00170CA5" w:rsidRDefault="00170CA5" w:rsidP="00170CA5">
      <w:pPr>
        <w:tabs>
          <w:tab w:val="left" w:pos="567"/>
        </w:tabs>
        <w:contextualSpacing/>
        <w:jc w:val="both"/>
        <w:rPr>
          <w:rFonts w:ascii="Verdana" w:hAnsi="Verdana" w:cs="Arial"/>
          <w:bCs/>
          <w:sz w:val="20"/>
          <w:szCs w:val="20"/>
        </w:rPr>
      </w:pPr>
    </w:p>
    <w:p w14:paraId="61C3E9E6" w14:textId="55BF5716" w:rsidR="00170CA5" w:rsidRPr="00170CA5" w:rsidRDefault="00170CA5" w:rsidP="00170CA5">
      <w:pPr>
        <w:jc w:val="both"/>
        <w:rPr>
          <w:rFonts w:ascii="Verdana" w:hAnsi="Verdana"/>
          <w:bCs/>
          <w:i/>
          <w:sz w:val="20"/>
          <w:szCs w:val="20"/>
        </w:rPr>
      </w:pPr>
      <m:oMathPara>
        <m:oMath>
          <m:r>
            <w:rPr>
              <w:rFonts w:ascii="Cambria Math" w:hAnsi="Cambria Math"/>
              <w:sz w:val="20"/>
              <w:szCs w:val="20"/>
            </w:rPr>
            <m:t>PFCI</m:t>
          </m:r>
          <m:r>
            <w:rPr>
              <w:rFonts w:ascii="Cambria Math" w:hAnsi="Cambria Math" w:cs="Cambria Math"/>
              <w:sz w:val="20"/>
              <w:szCs w:val="20"/>
            </w:rPr>
            <m:t>=</m:t>
          </m:r>
          <m:f>
            <m:fPr>
              <m:ctrlPr>
                <w:rPr>
                  <w:rFonts w:ascii="Cambria Math" w:hAnsi="Cambria Math"/>
                  <w:bCs/>
                  <w:i/>
                  <w:sz w:val="20"/>
                  <w:szCs w:val="20"/>
                </w:rPr>
              </m:ctrlPr>
            </m:fPr>
            <m:num>
              <m:r>
                <w:rPr>
                  <w:rFonts w:ascii="Cambria Math" w:hAnsi="Cambria Math" w:cs="Cambria Math"/>
                  <w:sz w:val="20"/>
                  <w:szCs w:val="20"/>
                </w:rPr>
                <m:t>Fondos climáticos internacionales canalizados</m:t>
              </m:r>
            </m:num>
            <m:den>
              <m:r>
                <w:rPr>
                  <w:rFonts w:ascii="Cambria Math" w:hAnsi="Cambria Math" w:cs="Cambria Math"/>
                  <w:sz w:val="20"/>
                  <w:szCs w:val="20"/>
                </w:rPr>
                <m:t>Financiamiento total combinado del portafolio o cartera</m:t>
              </m:r>
            </m:den>
          </m:f>
          <m:r>
            <w:rPr>
              <w:rFonts w:ascii="Cambria Math" w:hAnsi="Cambria Math"/>
              <w:sz w:val="20"/>
              <w:szCs w:val="20"/>
            </w:rPr>
            <m:t>*100</m:t>
          </m:r>
        </m:oMath>
      </m:oMathPara>
    </w:p>
    <w:p w14:paraId="33F119E9" w14:textId="77777777" w:rsidR="00170CA5" w:rsidRPr="00170CA5" w:rsidRDefault="00170CA5" w:rsidP="00170CA5">
      <w:pPr>
        <w:tabs>
          <w:tab w:val="left" w:pos="567"/>
        </w:tabs>
        <w:contextualSpacing/>
        <w:jc w:val="both"/>
        <w:rPr>
          <w:rFonts w:ascii="Verdana" w:hAnsi="Verdana" w:cs="Arial"/>
          <w:bCs/>
          <w:sz w:val="20"/>
          <w:szCs w:val="20"/>
        </w:rPr>
      </w:pPr>
    </w:p>
    <w:p w14:paraId="40353B7E" w14:textId="6D7EFA2A"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1.4.1.A1.55. </w:t>
      </w:r>
    </w:p>
    <w:p w14:paraId="437BD510" w14:textId="7C96CCA1"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El índice se presenta como porcentaje y su medición puede ser anual, o en caso coyuntural se podrá realizar a consideración de la entidad. </w:t>
      </w:r>
    </w:p>
    <w:p w14:paraId="00A9A35A" w14:textId="77777777" w:rsidR="00170CA5" w:rsidRPr="00170CA5" w:rsidRDefault="00170CA5" w:rsidP="00170CA5">
      <w:pPr>
        <w:tabs>
          <w:tab w:val="left" w:pos="567"/>
        </w:tabs>
        <w:contextualSpacing/>
        <w:jc w:val="both"/>
        <w:rPr>
          <w:rFonts w:ascii="Verdana" w:hAnsi="Verdana" w:cs="Arial"/>
          <w:bCs/>
          <w:sz w:val="20"/>
          <w:szCs w:val="20"/>
        </w:rPr>
      </w:pPr>
    </w:p>
    <w:p w14:paraId="28041A62" w14:textId="00A96DAA"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1.4.1.A1.56. </w:t>
      </w:r>
    </w:p>
    <w:p w14:paraId="06EC73B0" w14:textId="022D8997"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Variables: </w:t>
      </w:r>
    </w:p>
    <w:p w14:paraId="381EDF10" w14:textId="77777777" w:rsidR="00170CA5" w:rsidRPr="00170CA5" w:rsidRDefault="00170CA5" w:rsidP="00170CA5">
      <w:pPr>
        <w:tabs>
          <w:tab w:val="left" w:pos="567"/>
        </w:tabs>
        <w:contextualSpacing/>
        <w:jc w:val="both"/>
        <w:rPr>
          <w:rFonts w:ascii="Verdana" w:hAnsi="Verdana" w:cs="Arial"/>
          <w:bCs/>
          <w:sz w:val="20"/>
          <w:szCs w:val="20"/>
        </w:rPr>
      </w:pPr>
    </w:p>
    <w:p w14:paraId="136029AA" w14:textId="68249344"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cs="Cambria Math"/>
            <w:sz w:val="20"/>
            <w:szCs w:val="20"/>
          </w:rPr>
          <m:t>Fondos climáticos internacionales canalizados</m:t>
        </m:r>
      </m:oMath>
      <w:r w:rsidRPr="00170CA5">
        <w:rPr>
          <w:rFonts w:ascii="Verdana" w:hAnsi="Verdana" w:cs="Arial"/>
          <w:bCs/>
          <w:sz w:val="20"/>
          <w:szCs w:val="20"/>
        </w:rPr>
        <w:t xml:space="preserve">: recursos provenientes de programas como el Fondo Verde del Clima (GCF), el Fondo Mundial para el Medio Ambiente (GEF), CIF, NAMA </w:t>
      </w:r>
      <w:proofErr w:type="spellStart"/>
      <w:r w:rsidRPr="00170CA5">
        <w:rPr>
          <w:rFonts w:ascii="Verdana" w:hAnsi="Verdana" w:cs="Arial"/>
          <w:bCs/>
          <w:sz w:val="20"/>
          <w:szCs w:val="20"/>
        </w:rPr>
        <w:t>Facility</w:t>
      </w:r>
      <w:proofErr w:type="spellEnd"/>
      <w:r w:rsidRPr="00170CA5">
        <w:rPr>
          <w:rFonts w:ascii="Verdana" w:hAnsi="Verdana" w:cs="Arial"/>
          <w:bCs/>
          <w:sz w:val="20"/>
          <w:szCs w:val="20"/>
        </w:rPr>
        <w:t>, entre otros.</w:t>
      </w:r>
    </w:p>
    <w:p w14:paraId="6B2B2D6E" w14:textId="77777777" w:rsidR="00170CA5" w:rsidRPr="00170CA5" w:rsidRDefault="00170CA5" w:rsidP="00170CA5">
      <w:pPr>
        <w:tabs>
          <w:tab w:val="left" w:pos="567"/>
        </w:tabs>
        <w:contextualSpacing/>
        <w:jc w:val="both"/>
        <w:rPr>
          <w:rFonts w:ascii="Verdana" w:hAnsi="Verdana" w:cs="Arial"/>
          <w:bCs/>
          <w:sz w:val="20"/>
          <w:szCs w:val="20"/>
        </w:rPr>
      </w:pPr>
    </w:p>
    <w:p w14:paraId="727ACA85" w14:textId="399A0A0C"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cs="Cambria Math"/>
            <w:sz w:val="20"/>
            <w:szCs w:val="20"/>
          </w:rPr>
          <m:t>Financiamiento total combinado del portafolio o cartera</m:t>
        </m:r>
      </m:oMath>
      <w:r w:rsidRPr="00170CA5">
        <w:rPr>
          <w:rFonts w:ascii="Verdana" w:hAnsi="Verdana" w:cs="Arial"/>
          <w:bCs/>
          <w:sz w:val="20"/>
          <w:szCs w:val="20"/>
        </w:rPr>
        <w:t xml:space="preserve">: total de recursos estructurados por la entidad en el portafolio climático, incluyendo recursos propios. </w:t>
      </w:r>
    </w:p>
    <w:p w14:paraId="6BB8505E" w14:textId="77777777" w:rsidR="00170CA5" w:rsidRPr="00170CA5" w:rsidRDefault="00170CA5" w:rsidP="00170CA5">
      <w:pPr>
        <w:tabs>
          <w:tab w:val="left" w:pos="567"/>
        </w:tabs>
        <w:contextualSpacing/>
        <w:jc w:val="both"/>
        <w:rPr>
          <w:rFonts w:ascii="Verdana" w:hAnsi="Verdana" w:cs="Arial"/>
          <w:bCs/>
          <w:sz w:val="20"/>
          <w:szCs w:val="20"/>
        </w:rPr>
      </w:pPr>
    </w:p>
    <w:p w14:paraId="0EA4E8A2" w14:textId="099E92E4"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1.4.1.A1.57.</w:t>
      </w:r>
    </w:p>
    <w:p w14:paraId="18F01053" w14:textId="43758610"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Fuentes: </w:t>
      </w:r>
    </w:p>
    <w:p w14:paraId="4CAF0277" w14:textId="77777777" w:rsidR="00170CA5" w:rsidRPr="00170CA5" w:rsidRDefault="00170CA5" w:rsidP="00170CA5">
      <w:pPr>
        <w:tabs>
          <w:tab w:val="left" w:pos="567"/>
        </w:tabs>
        <w:contextualSpacing/>
        <w:jc w:val="both"/>
        <w:rPr>
          <w:rFonts w:ascii="Verdana" w:hAnsi="Verdana" w:cs="Arial"/>
          <w:bCs/>
          <w:sz w:val="20"/>
          <w:szCs w:val="20"/>
        </w:rPr>
      </w:pPr>
    </w:p>
    <w:p w14:paraId="70FE5F8D" w14:textId="77777777" w:rsidR="00170CA5" w:rsidRDefault="00170CA5" w:rsidP="00141D51">
      <w:pPr>
        <w:pStyle w:val="Prrafodelista"/>
        <w:numPr>
          <w:ilvl w:val="0"/>
          <w:numId w:val="5"/>
        </w:numPr>
        <w:tabs>
          <w:tab w:val="left" w:pos="567"/>
        </w:tabs>
        <w:ind w:left="567" w:hanging="567"/>
        <w:jc w:val="both"/>
        <w:rPr>
          <w:rFonts w:ascii="Verdana" w:hAnsi="Verdana" w:cs="Arial"/>
          <w:bCs/>
          <w:sz w:val="20"/>
          <w:szCs w:val="20"/>
        </w:rPr>
      </w:pPr>
      <w:r w:rsidRPr="00170CA5">
        <w:rPr>
          <w:rFonts w:ascii="Verdana" w:hAnsi="Verdana" w:cs="Arial"/>
          <w:bCs/>
          <w:sz w:val="20"/>
          <w:szCs w:val="20"/>
        </w:rPr>
        <w:t>Información interna, políticas de inversión</w:t>
      </w:r>
    </w:p>
    <w:p w14:paraId="30181DD9" w14:textId="77777777" w:rsidR="00141D51" w:rsidRPr="00170CA5" w:rsidRDefault="00141D51" w:rsidP="00141D51">
      <w:pPr>
        <w:pStyle w:val="Prrafodelista"/>
        <w:tabs>
          <w:tab w:val="left" w:pos="567"/>
        </w:tabs>
        <w:ind w:left="567"/>
        <w:jc w:val="both"/>
        <w:rPr>
          <w:rFonts w:ascii="Verdana" w:hAnsi="Verdana" w:cs="Arial"/>
          <w:bCs/>
          <w:sz w:val="20"/>
          <w:szCs w:val="20"/>
        </w:rPr>
      </w:pPr>
    </w:p>
    <w:p w14:paraId="69A499A2" w14:textId="77777777" w:rsidR="00170CA5" w:rsidRPr="00170CA5" w:rsidRDefault="00170CA5" w:rsidP="00141D51">
      <w:pPr>
        <w:pStyle w:val="Prrafodelista"/>
        <w:numPr>
          <w:ilvl w:val="0"/>
          <w:numId w:val="5"/>
        </w:numPr>
        <w:tabs>
          <w:tab w:val="left" w:pos="567"/>
        </w:tabs>
        <w:ind w:left="567" w:hanging="567"/>
        <w:jc w:val="both"/>
        <w:rPr>
          <w:rFonts w:ascii="Verdana" w:hAnsi="Verdana" w:cs="Arial"/>
          <w:bCs/>
          <w:sz w:val="20"/>
          <w:szCs w:val="20"/>
        </w:rPr>
      </w:pPr>
      <w:r w:rsidRPr="00170CA5">
        <w:rPr>
          <w:rFonts w:ascii="Verdana" w:hAnsi="Verdana" w:cs="Arial"/>
          <w:bCs/>
          <w:sz w:val="20"/>
          <w:szCs w:val="20"/>
        </w:rPr>
        <w:t xml:space="preserve">Fondo verde para el clima Green </w:t>
      </w:r>
      <w:proofErr w:type="spellStart"/>
      <w:r w:rsidRPr="00170CA5">
        <w:rPr>
          <w:rFonts w:ascii="Verdana" w:hAnsi="Verdana" w:cs="Arial"/>
          <w:bCs/>
          <w:sz w:val="20"/>
          <w:szCs w:val="20"/>
        </w:rPr>
        <w:t>Climate</w:t>
      </w:r>
      <w:proofErr w:type="spellEnd"/>
      <w:r w:rsidRPr="00170CA5">
        <w:rPr>
          <w:rFonts w:ascii="Verdana" w:hAnsi="Verdana" w:cs="Arial"/>
          <w:bCs/>
          <w:sz w:val="20"/>
          <w:szCs w:val="20"/>
        </w:rPr>
        <w:t xml:space="preserve"> </w:t>
      </w:r>
      <w:proofErr w:type="spellStart"/>
      <w:r w:rsidRPr="00170CA5">
        <w:rPr>
          <w:rFonts w:ascii="Verdana" w:hAnsi="Verdana" w:cs="Arial"/>
          <w:bCs/>
          <w:sz w:val="20"/>
          <w:szCs w:val="20"/>
        </w:rPr>
        <w:t>Fund</w:t>
      </w:r>
      <w:proofErr w:type="spellEnd"/>
    </w:p>
    <w:p w14:paraId="6AA6CDF7" w14:textId="77777777" w:rsidR="00170CA5" w:rsidRPr="00170CA5" w:rsidRDefault="00170CA5" w:rsidP="00170CA5">
      <w:pPr>
        <w:tabs>
          <w:tab w:val="left" w:pos="567"/>
        </w:tabs>
        <w:contextualSpacing/>
        <w:jc w:val="both"/>
        <w:rPr>
          <w:rFonts w:ascii="Verdana" w:hAnsi="Verdana" w:cs="Arial"/>
          <w:bCs/>
          <w:sz w:val="20"/>
          <w:szCs w:val="20"/>
        </w:rPr>
      </w:pPr>
    </w:p>
    <w:p w14:paraId="6E164D68" w14:textId="5885F4AB"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1.4.1.A1.58.</w:t>
      </w:r>
    </w:p>
    <w:p w14:paraId="1C386F13" w14:textId="549EE078"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Cobertura: El indicador se puede calcular a nivel institucional o nacional. </w:t>
      </w:r>
    </w:p>
    <w:p w14:paraId="3C09E66C" w14:textId="77777777" w:rsidR="00170CA5" w:rsidRPr="00170CA5" w:rsidRDefault="00170CA5" w:rsidP="00170CA5">
      <w:pPr>
        <w:tabs>
          <w:tab w:val="left" w:pos="567"/>
        </w:tabs>
        <w:contextualSpacing/>
        <w:jc w:val="both"/>
        <w:rPr>
          <w:rFonts w:ascii="Verdana" w:hAnsi="Verdana" w:cs="Arial"/>
          <w:bCs/>
          <w:sz w:val="20"/>
          <w:szCs w:val="20"/>
        </w:rPr>
      </w:pPr>
    </w:p>
    <w:p w14:paraId="62D991C0" w14:textId="68A48B9C" w:rsidR="00170CA5" w:rsidRPr="00170CA5" w:rsidRDefault="00170CA5" w:rsidP="00170CA5">
      <w:pPr>
        <w:tabs>
          <w:tab w:val="left" w:pos="567"/>
        </w:tabs>
        <w:contextualSpacing/>
        <w:jc w:val="both"/>
        <w:rPr>
          <w:rFonts w:ascii="Verdana" w:hAnsi="Verdana" w:cs="Arial"/>
          <w:b/>
          <w:sz w:val="20"/>
          <w:szCs w:val="20"/>
        </w:rPr>
      </w:pPr>
      <w:r w:rsidRPr="00170CA5">
        <w:rPr>
          <w:rFonts w:ascii="Verdana" w:hAnsi="Verdana" w:cs="Arial"/>
          <w:b/>
          <w:sz w:val="20"/>
          <w:szCs w:val="20"/>
        </w:rPr>
        <w:t>Índice de Financiación Combinada para Clima (IFCC)</w:t>
      </w:r>
    </w:p>
    <w:p w14:paraId="4FB96EC1" w14:textId="77777777" w:rsidR="00170CA5" w:rsidRPr="00170CA5" w:rsidRDefault="00170CA5" w:rsidP="00170CA5">
      <w:pPr>
        <w:tabs>
          <w:tab w:val="left" w:pos="567"/>
        </w:tabs>
        <w:contextualSpacing/>
        <w:jc w:val="both"/>
        <w:rPr>
          <w:rFonts w:ascii="Verdana" w:hAnsi="Verdana" w:cs="Arial"/>
          <w:b/>
          <w:sz w:val="20"/>
          <w:szCs w:val="20"/>
        </w:rPr>
      </w:pPr>
    </w:p>
    <w:p w14:paraId="68BED046" w14:textId="47231AEA"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1.4.1.A1.59. </w:t>
      </w:r>
    </w:p>
    <w:p w14:paraId="17DAD38F" w14:textId="6F59F2A6" w:rsid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Tipo de indicador: estructura financiera.</w:t>
      </w:r>
    </w:p>
    <w:p w14:paraId="7A8D70D4" w14:textId="77777777" w:rsidR="00170CA5" w:rsidRPr="00170CA5" w:rsidRDefault="00170CA5" w:rsidP="00170CA5">
      <w:pPr>
        <w:tabs>
          <w:tab w:val="left" w:pos="567"/>
        </w:tabs>
        <w:contextualSpacing/>
        <w:jc w:val="both"/>
        <w:rPr>
          <w:rFonts w:ascii="Verdana" w:hAnsi="Verdana" w:cs="Arial"/>
          <w:bCs/>
          <w:sz w:val="20"/>
          <w:szCs w:val="20"/>
        </w:rPr>
      </w:pPr>
    </w:p>
    <w:p w14:paraId="0DEAE209" w14:textId="247A9CA8"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1.4.1.A1.60. </w:t>
      </w:r>
    </w:p>
    <w:p w14:paraId="3D058F03" w14:textId="46824055"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Propósito: medir el nivel de apalancamiento logrado por la entidad al integrar recursos no reembolsables en la financiación de proyectos con impacto climático. Este indicador refleja el grado de apalancamiento institucional con recursos de cooperación multilateral, fondos internacionales y en general financiamiento climático.</w:t>
      </w:r>
    </w:p>
    <w:p w14:paraId="194C373D" w14:textId="77777777" w:rsidR="00170CA5" w:rsidRPr="00170CA5" w:rsidRDefault="00170CA5" w:rsidP="00170CA5">
      <w:pPr>
        <w:tabs>
          <w:tab w:val="left" w:pos="567"/>
        </w:tabs>
        <w:contextualSpacing/>
        <w:jc w:val="both"/>
        <w:rPr>
          <w:rFonts w:ascii="Verdana" w:hAnsi="Verdana" w:cs="Arial"/>
          <w:bCs/>
          <w:sz w:val="20"/>
          <w:szCs w:val="20"/>
        </w:rPr>
      </w:pPr>
    </w:p>
    <w:p w14:paraId="7DF214F6" w14:textId="0ED8956D"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1.4.1.A1.61. </w:t>
      </w:r>
    </w:p>
    <w:p w14:paraId="1BEFEE23" w14:textId="6D1C9E4E"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Este indicador puede ser utilizado por los establecimientos de crédito, las entidades aseguradoras y las entidades que administran recursos de terceros. </w:t>
      </w:r>
    </w:p>
    <w:p w14:paraId="5E8F796C" w14:textId="77777777" w:rsidR="00170CA5" w:rsidRPr="00170CA5" w:rsidRDefault="00170CA5" w:rsidP="00170CA5">
      <w:pPr>
        <w:tabs>
          <w:tab w:val="left" w:pos="567"/>
        </w:tabs>
        <w:contextualSpacing/>
        <w:jc w:val="both"/>
        <w:rPr>
          <w:rFonts w:ascii="Verdana" w:hAnsi="Verdana" w:cs="Arial"/>
          <w:bCs/>
          <w:sz w:val="20"/>
          <w:szCs w:val="20"/>
        </w:rPr>
      </w:pPr>
    </w:p>
    <w:p w14:paraId="3F052830" w14:textId="3DCCD245"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1.4.1.A1.62. </w:t>
      </w:r>
    </w:p>
    <w:p w14:paraId="413213BA" w14:textId="71FAD689"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Fórmula:</w:t>
      </w:r>
    </w:p>
    <w:p w14:paraId="392BAB33" w14:textId="77777777" w:rsidR="00170CA5" w:rsidRPr="00170CA5" w:rsidRDefault="00170CA5" w:rsidP="00170CA5">
      <w:pPr>
        <w:tabs>
          <w:tab w:val="left" w:pos="567"/>
        </w:tabs>
        <w:contextualSpacing/>
        <w:jc w:val="both"/>
        <w:rPr>
          <w:rFonts w:ascii="Verdana" w:hAnsi="Verdana" w:cs="Arial"/>
          <w:bCs/>
          <w:sz w:val="20"/>
          <w:szCs w:val="20"/>
        </w:rPr>
      </w:pPr>
    </w:p>
    <w:p w14:paraId="5B539B31" w14:textId="0A365244" w:rsidR="00170CA5" w:rsidRPr="00170CA5" w:rsidRDefault="00170CA5" w:rsidP="00170CA5">
      <w:pPr>
        <w:jc w:val="both"/>
        <w:rPr>
          <w:rFonts w:ascii="Verdana" w:hAnsi="Verdana"/>
          <w:bCs/>
          <w:sz w:val="20"/>
          <w:szCs w:val="20"/>
        </w:rPr>
      </w:pPr>
      <m:oMathPara>
        <m:oMath>
          <m:r>
            <w:rPr>
              <w:rFonts w:ascii="Cambria Math" w:hAnsi="Cambria Math"/>
              <w:sz w:val="20"/>
              <w:szCs w:val="20"/>
            </w:rPr>
            <m:t>IFCC</m:t>
          </m:r>
          <m:r>
            <w:rPr>
              <w:rFonts w:ascii="Cambria Math" w:hAnsi="Cambria Math" w:cs="Cambria Math"/>
              <w:sz w:val="20"/>
              <w:szCs w:val="20"/>
            </w:rPr>
            <m:t>=</m:t>
          </m:r>
          <m:f>
            <m:fPr>
              <m:ctrlPr>
                <w:rPr>
                  <w:rFonts w:ascii="Cambria Math" w:hAnsi="Cambria Math"/>
                  <w:bCs/>
                  <w:i/>
                  <w:sz w:val="20"/>
                  <w:szCs w:val="20"/>
                </w:rPr>
              </m:ctrlPr>
            </m:fPr>
            <m:num>
              <m:r>
                <w:rPr>
                  <w:rFonts w:ascii="Cambria Math" w:hAnsi="Cambria Math" w:cs="Cambria Math"/>
                  <w:sz w:val="20"/>
                  <w:szCs w:val="20"/>
                </w:rPr>
                <m:t>Recursos  no reembolsables</m:t>
              </m:r>
            </m:num>
            <m:den>
              <m:r>
                <w:rPr>
                  <w:rFonts w:ascii="Cambria Math" w:hAnsi="Cambria Math" w:cs="Cambria Math"/>
                  <w:sz w:val="20"/>
                  <w:szCs w:val="20"/>
                </w:rPr>
                <m:t>Total del portafolio o cartera climática</m:t>
              </m:r>
            </m:den>
          </m:f>
          <m:r>
            <w:rPr>
              <w:rFonts w:ascii="Cambria Math" w:hAnsi="Cambria Math"/>
              <w:sz w:val="20"/>
              <w:szCs w:val="20"/>
            </w:rPr>
            <m:t>*100</m:t>
          </m:r>
        </m:oMath>
      </m:oMathPara>
    </w:p>
    <w:p w14:paraId="31759492" w14:textId="77777777" w:rsidR="00170CA5" w:rsidRPr="00170CA5" w:rsidRDefault="00170CA5" w:rsidP="00170CA5">
      <w:pPr>
        <w:tabs>
          <w:tab w:val="left" w:pos="567"/>
        </w:tabs>
        <w:contextualSpacing/>
        <w:jc w:val="both"/>
        <w:rPr>
          <w:rFonts w:ascii="Verdana" w:hAnsi="Verdana" w:cs="Arial"/>
          <w:bCs/>
          <w:sz w:val="20"/>
          <w:szCs w:val="20"/>
        </w:rPr>
      </w:pPr>
    </w:p>
    <w:p w14:paraId="4AF67D4D" w14:textId="48574F46"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1.4.1.A1.63. </w:t>
      </w:r>
    </w:p>
    <w:p w14:paraId="06D182DA" w14:textId="70BE2DF8"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lastRenderedPageBreak/>
        <w:t>El índice se presenta como porcentaje y su medición puede ser anual, o en caso coyuntural se podrá realizar a consideración de la entidad.</w:t>
      </w:r>
    </w:p>
    <w:p w14:paraId="2E95A88F" w14:textId="77777777" w:rsidR="00170CA5" w:rsidRPr="00170CA5" w:rsidRDefault="00170CA5" w:rsidP="00170CA5">
      <w:pPr>
        <w:tabs>
          <w:tab w:val="left" w:pos="567"/>
        </w:tabs>
        <w:contextualSpacing/>
        <w:jc w:val="both"/>
        <w:rPr>
          <w:rFonts w:ascii="Verdana" w:hAnsi="Verdana" w:cs="Arial"/>
          <w:bCs/>
          <w:sz w:val="20"/>
          <w:szCs w:val="20"/>
        </w:rPr>
      </w:pPr>
    </w:p>
    <w:p w14:paraId="5527BF21" w14:textId="33AB67A2"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1.4.1.A1.64. </w:t>
      </w:r>
    </w:p>
    <w:p w14:paraId="3E7034BD" w14:textId="7929D6F0"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 xml:space="preserve">Variables: </w:t>
      </w:r>
    </w:p>
    <w:p w14:paraId="71A418BD" w14:textId="77777777" w:rsidR="00170CA5" w:rsidRPr="00170CA5" w:rsidRDefault="00170CA5" w:rsidP="00170CA5">
      <w:pPr>
        <w:tabs>
          <w:tab w:val="left" w:pos="567"/>
        </w:tabs>
        <w:contextualSpacing/>
        <w:jc w:val="both"/>
        <w:rPr>
          <w:rFonts w:ascii="Verdana" w:hAnsi="Verdana" w:cs="Arial"/>
          <w:bCs/>
          <w:sz w:val="20"/>
          <w:szCs w:val="20"/>
        </w:rPr>
      </w:pPr>
    </w:p>
    <w:p w14:paraId="3F5601F2" w14:textId="57950808"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cs="Cambria Math"/>
            <w:sz w:val="20"/>
            <w:szCs w:val="20"/>
          </w:rPr>
          <m:t>Recursos  no reembolsables</m:t>
        </m:r>
      </m:oMath>
      <w:r w:rsidRPr="00170CA5">
        <w:rPr>
          <w:rFonts w:ascii="Verdana" w:hAnsi="Verdana" w:cs="Arial"/>
          <w:bCs/>
          <w:sz w:val="20"/>
          <w:szCs w:val="20"/>
        </w:rPr>
        <w:t>: recursos climáticos obtenidos con condiciones financieras favorables (donaciones, subsidios, préstamos blandos, garantías) provenientes de cooperación bilateral o multilateral.</w:t>
      </w:r>
    </w:p>
    <w:p w14:paraId="61958158" w14:textId="77777777" w:rsidR="00170CA5" w:rsidRPr="00170CA5" w:rsidRDefault="00170CA5" w:rsidP="00170CA5">
      <w:pPr>
        <w:tabs>
          <w:tab w:val="left" w:pos="567"/>
        </w:tabs>
        <w:contextualSpacing/>
        <w:jc w:val="both"/>
        <w:rPr>
          <w:rFonts w:ascii="Verdana" w:hAnsi="Verdana" w:cs="Arial"/>
          <w:bCs/>
          <w:sz w:val="20"/>
          <w:szCs w:val="20"/>
        </w:rPr>
      </w:pPr>
    </w:p>
    <w:p w14:paraId="3F900468" w14:textId="492CA517" w:rsidR="00170CA5" w:rsidRPr="00170CA5" w:rsidRDefault="00170CA5" w:rsidP="00170CA5">
      <w:pPr>
        <w:tabs>
          <w:tab w:val="left" w:pos="567"/>
        </w:tabs>
        <w:contextualSpacing/>
        <w:jc w:val="both"/>
        <w:rPr>
          <w:rFonts w:ascii="Verdana" w:hAnsi="Verdana" w:cs="Arial"/>
          <w:bCs/>
          <w:sz w:val="20"/>
          <w:szCs w:val="20"/>
        </w:rPr>
      </w:pPr>
      <m:oMath>
        <m:r>
          <w:rPr>
            <w:rFonts w:ascii="Cambria Math" w:hAnsi="Cambria Math" w:cs="Cambria Math"/>
            <w:sz w:val="20"/>
            <w:szCs w:val="20"/>
          </w:rPr>
          <m:t>Total del portafolio o cartera climática</m:t>
        </m:r>
      </m:oMath>
      <w:r w:rsidRPr="00170CA5">
        <w:rPr>
          <w:rFonts w:ascii="Verdana" w:hAnsi="Verdana" w:cs="Arial"/>
          <w:bCs/>
          <w:sz w:val="20"/>
          <w:szCs w:val="20"/>
        </w:rPr>
        <w:t xml:space="preserve">: monto agregado de las inversiones, proyectos o productos financieros orientados a la acción climática financiados por la entidad. </w:t>
      </w:r>
    </w:p>
    <w:p w14:paraId="1305D1CA" w14:textId="77777777" w:rsidR="00170CA5" w:rsidRPr="00170CA5" w:rsidRDefault="00170CA5" w:rsidP="00170CA5">
      <w:pPr>
        <w:tabs>
          <w:tab w:val="left" w:pos="567"/>
        </w:tabs>
        <w:contextualSpacing/>
        <w:jc w:val="both"/>
        <w:rPr>
          <w:rFonts w:ascii="Verdana" w:hAnsi="Verdana" w:cs="Arial"/>
          <w:bCs/>
          <w:sz w:val="20"/>
          <w:szCs w:val="20"/>
        </w:rPr>
      </w:pPr>
    </w:p>
    <w:p w14:paraId="71635C25" w14:textId="3E6D42AE"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1.4.1.A1.65. </w:t>
      </w:r>
    </w:p>
    <w:p w14:paraId="4E395572" w14:textId="0BD2EC1C"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Fuentes: Cálculo propio con datos de la entidad, de acuerdo con su información sobre estructuración financiera de proyectos y la relación con entidades multilaterales.</w:t>
      </w:r>
    </w:p>
    <w:p w14:paraId="088FE2B0" w14:textId="77777777" w:rsidR="00170CA5" w:rsidRPr="00170CA5" w:rsidRDefault="00170CA5" w:rsidP="00170CA5">
      <w:pPr>
        <w:tabs>
          <w:tab w:val="left" w:pos="567"/>
        </w:tabs>
        <w:contextualSpacing/>
        <w:jc w:val="both"/>
        <w:rPr>
          <w:rFonts w:ascii="Verdana" w:hAnsi="Verdana" w:cs="Arial"/>
          <w:bCs/>
          <w:sz w:val="20"/>
          <w:szCs w:val="20"/>
        </w:rPr>
      </w:pPr>
    </w:p>
    <w:p w14:paraId="2339CE4F" w14:textId="6C18FA24" w:rsidR="00170CA5" w:rsidRDefault="00170CA5" w:rsidP="00170CA5">
      <w:pPr>
        <w:tabs>
          <w:tab w:val="left" w:pos="567"/>
        </w:tabs>
        <w:contextualSpacing/>
        <w:jc w:val="both"/>
        <w:rPr>
          <w:rFonts w:ascii="Verdana" w:hAnsi="Verdana" w:cs="Arial"/>
          <w:bCs/>
          <w:sz w:val="20"/>
          <w:szCs w:val="20"/>
        </w:rPr>
      </w:pPr>
      <w:r>
        <w:rPr>
          <w:rFonts w:ascii="Verdana" w:hAnsi="Verdana" w:cs="Arial"/>
          <w:bCs/>
          <w:sz w:val="20"/>
          <w:szCs w:val="20"/>
        </w:rPr>
        <w:t xml:space="preserve">1.4.1.A1.66. </w:t>
      </w:r>
    </w:p>
    <w:p w14:paraId="12F83F79" w14:textId="0DC6EB33" w:rsidR="00170CA5" w:rsidRPr="00170CA5" w:rsidRDefault="00170CA5" w:rsidP="00170CA5">
      <w:pPr>
        <w:tabs>
          <w:tab w:val="left" w:pos="567"/>
        </w:tabs>
        <w:contextualSpacing/>
        <w:jc w:val="both"/>
        <w:rPr>
          <w:rFonts w:ascii="Verdana" w:hAnsi="Verdana" w:cs="Arial"/>
          <w:bCs/>
          <w:sz w:val="20"/>
          <w:szCs w:val="20"/>
        </w:rPr>
      </w:pPr>
      <w:r w:rsidRPr="00170CA5">
        <w:rPr>
          <w:rFonts w:ascii="Verdana" w:hAnsi="Verdana" w:cs="Arial"/>
          <w:bCs/>
          <w:sz w:val="20"/>
          <w:szCs w:val="20"/>
        </w:rPr>
        <w:t>Cobertura: El indicador se puede calcular a nivel de proyecto o nivel nacional.</w:t>
      </w:r>
    </w:p>
    <w:p w14:paraId="58A7CE03" w14:textId="77777777" w:rsidR="00170CA5" w:rsidRPr="00170CA5" w:rsidRDefault="00170CA5" w:rsidP="00170CA5">
      <w:pPr>
        <w:tabs>
          <w:tab w:val="left" w:pos="567"/>
        </w:tabs>
        <w:contextualSpacing/>
        <w:jc w:val="both"/>
        <w:rPr>
          <w:rFonts w:ascii="Verdana" w:hAnsi="Verdana" w:cs="Arial"/>
          <w:bCs/>
          <w:sz w:val="20"/>
          <w:szCs w:val="20"/>
        </w:rPr>
      </w:pPr>
    </w:p>
    <w:p w14:paraId="0E3118DE" w14:textId="77777777" w:rsidR="00206404" w:rsidRPr="00170CA5" w:rsidRDefault="00206404">
      <w:pPr>
        <w:rPr>
          <w:rFonts w:ascii="Verdana" w:hAnsi="Verdana"/>
          <w:bCs/>
          <w:sz w:val="20"/>
          <w:szCs w:val="20"/>
        </w:rPr>
      </w:pPr>
    </w:p>
    <w:sectPr w:rsidR="00206404" w:rsidRPr="00170CA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53FAB" w14:textId="77777777" w:rsidR="00170CA5" w:rsidRDefault="00170CA5" w:rsidP="00170CA5">
      <w:r>
        <w:separator/>
      </w:r>
    </w:p>
  </w:endnote>
  <w:endnote w:type="continuationSeparator" w:id="0">
    <w:p w14:paraId="73CDCFD5" w14:textId="77777777" w:rsidR="00170CA5" w:rsidRDefault="00170CA5" w:rsidP="0017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4E991" w14:textId="77777777" w:rsidR="00170CA5" w:rsidRDefault="00170CA5" w:rsidP="00170CA5">
      <w:r>
        <w:separator/>
      </w:r>
    </w:p>
  </w:footnote>
  <w:footnote w:type="continuationSeparator" w:id="0">
    <w:p w14:paraId="5072E379" w14:textId="77777777" w:rsidR="00170CA5" w:rsidRDefault="00170CA5" w:rsidP="00170CA5">
      <w:r>
        <w:continuationSeparator/>
      </w:r>
    </w:p>
  </w:footnote>
  <w:footnote w:id="1">
    <w:p w14:paraId="389726C0" w14:textId="77777777" w:rsidR="00170CA5" w:rsidRPr="00170CA5" w:rsidRDefault="00170CA5" w:rsidP="00170CA5">
      <w:pPr>
        <w:pStyle w:val="Textonotapie"/>
        <w:jc w:val="both"/>
        <w:rPr>
          <w:rFonts w:ascii="Verdana" w:hAnsi="Verdana" w:cs="Arial"/>
          <w:sz w:val="16"/>
          <w:szCs w:val="16"/>
          <w:lang w:val="es-MX"/>
        </w:rPr>
      </w:pPr>
      <w:r w:rsidRPr="00170CA5">
        <w:rPr>
          <w:rStyle w:val="Refdenotaalpie"/>
          <w:rFonts w:ascii="Verdana" w:hAnsi="Verdana" w:cs="Arial"/>
          <w:sz w:val="16"/>
          <w:szCs w:val="16"/>
        </w:rPr>
        <w:footnoteRef/>
      </w:r>
      <w:r w:rsidRPr="00170CA5">
        <w:rPr>
          <w:rFonts w:ascii="Verdana" w:hAnsi="Verdana" w:cs="Arial"/>
          <w:sz w:val="16"/>
          <w:szCs w:val="16"/>
        </w:rPr>
        <w:t xml:space="preserve"> Se recomienda consultar las Normas de Desempeño de la IFC (1–5, 7 y 8) y los ODS (1–5, 10) y otras que la entidad considera relevantes.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61463"/>
    <w:multiLevelType w:val="hybridMultilevel"/>
    <w:tmpl w:val="BDE453EE"/>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1E420E47"/>
    <w:multiLevelType w:val="hybridMultilevel"/>
    <w:tmpl w:val="E968FDF0"/>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 w15:restartNumberingAfterBreak="0">
    <w:nsid w:val="376E4624"/>
    <w:multiLevelType w:val="hybridMultilevel"/>
    <w:tmpl w:val="862A779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2FD1C00"/>
    <w:multiLevelType w:val="hybridMultilevel"/>
    <w:tmpl w:val="7456ABA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5CF3BFE"/>
    <w:multiLevelType w:val="hybridMultilevel"/>
    <w:tmpl w:val="4D52DA6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4723254"/>
    <w:multiLevelType w:val="hybridMultilevel"/>
    <w:tmpl w:val="0CC4311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EAE2DF9"/>
    <w:multiLevelType w:val="hybridMultilevel"/>
    <w:tmpl w:val="B7A856C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97087365">
    <w:abstractNumId w:val="3"/>
  </w:num>
  <w:num w:numId="2" w16cid:durableId="603616533">
    <w:abstractNumId w:val="5"/>
  </w:num>
  <w:num w:numId="3" w16cid:durableId="1873957567">
    <w:abstractNumId w:val="4"/>
  </w:num>
  <w:num w:numId="4" w16cid:durableId="2115973011">
    <w:abstractNumId w:val="6"/>
  </w:num>
  <w:num w:numId="5" w16cid:durableId="1207840799">
    <w:abstractNumId w:val="2"/>
  </w:num>
  <w:num w:numId="6" w16cid:durableId="155189428">
    <w:abstractNumId w:val="1"/>
  </w:num>
  <w:num w:numId="7" w16cid:durableId="1625111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CA5"/>
    <w:rsid w:val="001008CF"/>
    <w:rsid w:val="00141D51"/>
    <w:rsid w:val="00170CA5"/>
    <w:rsid w:val="00206404"/>
    <w:rsid w:val="003C0602"/>
    <w:rsid w:val="003D163D"/>
    <w:rsid w:val="007608C3"/>
    <w:rsid w:val="00933D96"/>
    <w:rsid w:val="0096789C"/>
    <w:rsid w:val="00D35992"/>
    <w:rsid w:val="00DD28AB"/>
    <w:rsid w:val="00EB5E9A"/>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9414F"/>
  <w15:chartTrackingRefBased/>
  <w15:docId w15:val="{0912500D-AF7B-419A-BCB7-66868578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419"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CA5"/>
    <w:pPr>
      <w:spacing w:after="0" w:line="240" w:lineRule="auto"/>
    </w:pPr>
    <w:rPr>
      <w:rFonts w:ascii="Times New Roman" w:eastAsia="Times New Roman" w:hAnsi="Times New Roman" w:cs="Times New Roman"/>
      <w:kern w:val="0"/>
      <w:lang w:eastAsia="es-419"/>
      <w14:ligatures w14:val="none"/>
    </w:rPr>
  </w:style>
  <w:style w:type="paragraph" w:styleId="Ttulo1">
    <w:name w:val="heading 1"/>
    <w:basedOn w:val="Normal"/>
    <w:next w:val="Normal"/>
    <w:link w:val="Ttulo1Car"/>
    <w:uiPriority w:val="9"/>
    <w:qFormat/>
    <w:rsid w:val="00170C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70C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70CA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70CA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70CA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70CA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70CA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70CA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70CA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70CA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70CA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70CA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70CA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70CA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70CA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70CA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70CA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70CA5"/>
    <w:rPr>
      <w:rFonts w:eastAsiaTheme="majorEastAsia" w:cstheme="majorBidi"/>
      <w:color w:val="272727" w:themeColor="text1" w:themeTint="D8"/>
    </w:rPr>
  </w:style>
  <w:style w:type="paragraph" w:styleId="Ttulo">
    <w:name w:val="Title"/>
    <w:basedOn w:val="Normal"/>
    <w:next w:val="Normal"/>
    <w:link w:val="TtuloCar"/>
    <w:uiPriority w:val="10"/>
    <w:qFormat/>
    <w:rsid w:val="00170CA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70C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70CA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70CA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70CA5"/>
    <w:pPr>
      <w:spacing w:before="160"/>
      <w:jc w:val="center"/>
    </w:pPr>
    <w:rPr>
      <w:i/>
      <w:iCs/>
      <w:color w:val="404040" w:themeColor="text1" w:themeTint="BF"/>
    </w:rPr>
  </w:style>
  <w:style w:type="character" w:customStyle="1" w:styleId="CitaCar">
    <w:name w:val="Cita Car"/>
    <w:basedOn w:val="Fuentedeprrafopredeter"/>
    <w:link w:val="Cita"/>
    <w:uiPriority w:val="29"/>
    <w:rsid w:val="00170CA5"/>
    <w:rPr>
      <w:i/>
      <w:iCs/>
      <w:color w:val="404040" w:themeColor="text1" w:themeTint="BF"/>
    </w:rPr>
  </w:style>
  <w:style w:type="paragraph" w:styleId="Prrafodelista">
    <w:name w:val="List Paragraph"/>
    <w:basedOn w:val="Normal"/>
    <w:link w:val="PrrafodelistaCar"/>
    <w:uiPriority w:val="34"/>
    <w:qFormat/>
    <w:rsid w:val="00170CA5"/>
    <w:pPr>
      <w:ind w:left="720"/>
      <w:contextualSpacing/>
    </w:pPr>
  </w:style>
  <w:style w:type="character" w:styleId="nfasisintenso">
    <w:name w:val="Intense Emphasis"/>
    <w:basedOn w:val="Fuentedeprrafopredeter"/>
    <w:uiPriority w:val="21"/>
    <w:qFormat/>
    <w:rsid w:val="00170CA5"/>
    <w:rPr>
      <w:i/>
      <w:iCs/>
      <w:color w:val="0F4761" w:themeColor="accent1" w:themeShade="BF"/>
    </w:rPr>
  </w:style>
  <w:style w:type="paragraph" w:styleId="Citadestacada">
    <w:name w:val="Intense Quote"/>
    <w:basedOn w:val="Normal"/>
    <w:next w:val="Normal"/>
    <w:link w:val="CitadestacadaCar"/>
    <w:uiPriority w:val="30"/>
    <w:qFormat/>
    <w:rsid w:val="00170C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70CA5"/>
    <w:rPr>
      <w:i/>
      <w:iCs/>
      <w:color w:val="0F4761" w:themeColor="accent1" w:themeShade="BF"/>
    </w:rPr>
  </w:style>
  <w:style w:type="character" w:styleId="Referenciaintensa">
    <w:name w:val="Intense Reference"/>
    <w:basedOn w:val="Fuentedeprrafopredeter"/>
    <w:uiPriority w:val="32"/>
    <w:qFormat/>
    <w:rsid w:val="00170CA5"/>
    <w:rPr>
      <w:b/>
      <w:bCs/>
      <w:smallCaps/>
      <w:color w:val="0F4761" w:themeColor="accent1" w:themeShade="BF"/>
      <w:spacing w:val="5"/>
    </w:rPr>
  </w:style>
  <w:style w:type="character" w:customStyle="1" w:styleId="PrrafodelistaCar">
    <w:name w:val="Párrafo de lista Car"/>
    <w:link w:val="Prrafodelista"/>
    <w:uiPriority w:val="34"/>
    <w:locked/>
    <w:rsid w:val="00170CA5"/>
  </w:style>
  <w:style w:type="paragraph" w:styleId="Textonotapie">
    <w:name w:val="footnote text"/>
    <w:basedOn w:val="Normal"/>
    <w:link w:val="TextonotapieCar"/>
    <w:uiPriority w:val="99"/>
    <w:semiHidden/>
    <w:unhideWhenUsed/>
    <w:rsid w:val="00170CA5"/>
    <w:rPr>
      <w:sz w:val="20"/>
      <w:szCs w:val="20"/>
    </w:rPr>
  </w:style>
  <w:style w:type="character" w:customStyle="1" w:styleId="TextonotapieCar">
    <w:name w:val="Texto nota pie Car"/>
    <w:basedOn w:val="Fuentedeprrafopredeter"/>
    <w:link w:val="Textonotapie"/>
    <w:uiPriority w:val="99"/>
    <w:semiHidden/>
    <w:rsid w:val="00170CA5"/>
    <w:rPr>
      <w:rFonts w:ascii="Times New Roman" w:eastAsia="Times New Roman" w:hAnsi="Times New Roman" w:cs="Times New Roman"/>
      <w:kern w:val="0"/>
      <w:sz w:val="20"/>
      <w:szCs w:val="20"/>
      <w:lang w:eastAsia="es-419"/>
      <w14:ligatures w14:val="none"/>
    </w:rPr>
  </w:style>
  <w:style w:type="character" w:styleId="Refdenotaalpie">
    <w:name w:val="footnote reference"/>
    <w:basedOn w:val="Fuentedeprrafopredeter"/>
    <w:uiPriority w:val="99"/>
    <w:semiHidden/>
    <w:unhideWhenUsed/>
    <w:rsid w:val="00170C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33A4F-B70E-4A36-B47E-415AA8894B58}">
  <ds:schemaRefs>
    <ds:schemaRef ds:uri="http://schemas.microsoft.com/sharepoint/v3/contenttype/forms"/>
  </ds:schemaRefs>
</ds:datastoreItem>
</file>

<file path=customXml/itemProps2.xml><?xml version="1.0" encoding="utf-8"?>
<ds:datastoreItem xmlns:ds="http://schemas.openxmlformats.org/officeDocument/2006/customXml" ds:itemID="{2567A43A-FBDD-470A-9090-DD71EE13BCBD}">
  <ds:schemaRefs>
    <ds:schemaRef ds:uri="http://purl.org/dc/elements/1.1/"/>
    <ds:schemaRef ds:uri="http://www.w3.org/XML/1998/namespace"/>
    <ds:schemaRef ds:uri="http://purl.org/dc/dcmitype/"/>
    <ds:schemaRef ds:uri="http://schemas.microsoft.com/office/2006/documentManagement/types"/>
    <ds:schemaRef ds:uri="9056d983-1374-4724-9f8d-2ef5b64379db"/>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7D5153B-6C8A-4F20-B929-929562E1D882}"/>
</file>

<file path=docProps/app.xml><?xml version="1.0" encoding="utf-8"?>
<Properties xmlns="http://schemas.openxmlformats.org/officeDocument/2006/extended-properties" xmlns:vt="http://schemas.openxmlformats.org/officeDocument/2006/docPropsVTypes">
  <Template>Normal</Template>
  <TotalTime>23</TotalTime>
  <Pages>9</Pages>
  <Words>2649</Words>
  <Characters>16112</Characters>
  <Application>Microsoft Office Word</Application>
  <DocSecurity>0</DocSecurity>
  <Lines>503</Lines>
  <Paragraphs>246</Paragraphs>
  <ScaleCrop>false</ScaleCrop>
  <Company/>
  <LinksUpToDate>false</LinksUpToDate>
  <CharactersWithSpaces>18515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Superintendencia Financiera</dc:creator>
  <cp:keywords/>
  <dc:description/>
  <cp:lastModifiedBy>Superintendencia Financiera de Colombia</cp:lastModifiedBy>
  <cp:revision>7</cp:revision>
  <dcterms:created xsi:type="dcterms:W3CDTF">2025-11-19T20:55:00Z</dcterms:created>
  <dcterms:modified xsi:type="dcterms:W3CDTF">2025-12-03T02:11:00Z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246900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1" name="docLang">
    <vt:lpwstr>es</vt:lpwstr>
  </property>
</Properties>
</file>